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83691556"/>
        <w:docPartObj>
          <w:docPartGallery w:val="Cover Pages"/>
          <w:docPartUnique/>
        </w:docPartObj>
      </w:sdtPr>
      <w:sdtEndPr>
        <w:rPr>
          <w:rFonts w:ascii="Arial" w:hAnsi="Arial" w:cs="Arial"/>
          <w:b/>
          <w:bCs/>
          <w:sz w:val="20"/>
          <w:szCs w:val="20"/>
        </w:rPr>
      </w:sdtEndPr>
      <w:sdtContent>
        <w:p w:rsidR="007569C5" w:rsidRPr="00DF4A7E" w:rsidRDefault="007569C5" w:rsidP="007569C5">
          <w:pPr>
            <w:rPr>
              <w:lang w:val="sr-Cyrl-RS"/>
            </w:rPr>
          </w:pPr>
        </w:p>
        <w:p w:rsidR="007569C5" w:rsidRDefault="007569C5" w:rsidP="007569C5"/>
        <w:p w:rsidR="007569C5" w:rsidRPr="00D8234C" w:rsidRDefault="007569C5" w:rsidP="007569C5"/>
        <w:sdt>
          <w:sdtPr>
            <w:id w:val="1977955031"/>
            <w:docPartObj>
              <w:docPartGallery w:val="Cover Pages"/>
              <w:docPartUnique/>
            </w:docPartObj>
          </w:sdtPr>
          <w:sdtContent>
            <w:p w:rsidR="007569C5" w:rsidRPr="007973B4" w:rsidRDefault="007569C5" w:rsidP="007569C5">
              <w:pPr>
                <w:ind w:left="2160" w:firstLine="720"/>
                <w:rPr>
                  <w:lang w:val="sr-Cyrl-RS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REPUBLIKA</w:t>
              </w:r>
              <w:r w:rsidRPr="00B21E85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SRBIJA</w:t>
              </w:r>
            </w:p>
            <w:p w:rsidR="007569C5" w:rsidRPr="00B21E85" w:rsidRDefault="007569C5" w:rsidP="007569C5">
              <w:pPr>
                <w:spacing w:before="100" w:beforeAutospacing="1" w:after="100" w:afterAutospacing="1" w:line="240" w:lineRule="auto"/>
                <w:ind w:left="2160" w:firstLine="720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NARODNA</w:t>
              </w:r>
              <w:r w:rsidRPr="00B21E85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pl-PL"/>
                </w:rPr>
                <w:t>SKUPŠTINA</w:t>
              </w:r>
            </w:p>
            <w:p w:rsidR="007569C5" w:rsidRPr="00B21E85" w:rsidRDefault="007569C5" w:rsidP="007569C5">
              <w:pPr>
                <w:spacing w:before="100" w:beforeAutospacing="1" w:after="100" w:afterAutospacing="1" w:line="240" w:lineRule="auto"/>
                <w:jc w:val="center"/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</w:pP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BIBLIOTEKA</w:t>
              </w:r>
              <w:r w:rsidRPr="00B21E85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NARODNE</w:t>
              </w:r>
              <w:r w:rsidRPr="00B21E85"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 xml:space="preserve"> </w:t>
              </w:r>
              <w:r>
                <w:rPr>
                  <w:rFonts w:ascii="Arial" w:eastAsia="Times New Roman" w:hAnsi="Arial" w:cs="Arial"/>
                  <w:b/>
                  <w:bCs/>
                  <w:sz w:val="28"/>
                  <w:szCs w:val="28"/>
                  <w:lang w:val="sr-Cyrl-CS"/>
                </w:rPr>
                <w:t>SKUPŠTINE</w:t>
              </w:r>
            </w:p>
            <w:p w:rsidR="007569C5" w:rsidRPr="00336D0D" w:rsidRDefault="007569C5" w:rsidP="007569C5">
              <w:pPr>
                <w:tabs>
                  <w:tab w:val="left" w:pos="567"/>
                </w:tabs>
                <w:spacing w:line="360" w:lineRule="auto"/>
                <w:rPr>
                  <w:rFonts w:ascii="Arial" w:hAnsi="Arial" w:cs="Arial"/>
                  <w:sz w:val="20"/>
                  <w:szCs w:val="20"/>
                  <w:lang w:val="pl-PL"/>
                </w:rPr>
              </w:pPr>
            </w:p>
            <w:p w:rsidR="007569C5" w:rsidRPr="007569C5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v-FI" w:eastAsia="ja-JP"/>
                </w:rPr>
              </w:pPr>
            </w:p>
            <w:p w:rsidR="007569C5" w:rsidRPr="000F696E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Pr="00AE054C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</w:pPr>
            </w:p>
            <w:p w:rsidR="007569C5" w:rsidRPr="007569C5" w:rsidRDefault="007569C5" w:rsidP="007569C5">
              <w:pPr>
                <w:keepNext/>
                <w:spacing w:after="0" w:line="240" w:lineRule="auto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Tema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: 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CS" w:eastAsia="ja-JP"/>
                </w:rPr>
                <w:t xml:space="preserve">Zaposlenost i rizik od siromaštva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RS" w:eastAsia="ja-JP"/>
                </w:rPr>
                <w:t xml:space="preserve">: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CS" w:eastAsia="ja-JP"/>
                </w:rPr>
                <w:t>analiza i projekcije</w:t>
              </w:r>
            </w:p>
            <w:p w:rsidR="007569C5" w:rsidRPr="00B21E85" w:rsidRDefault="007569C5" w:rsidP="007569C5">
              <w:pPr>
                <w:keepNext/>
                <w:spacing w:after="0" w:line="240" w:lineRule="auto"/>
                <w:ind w:left="1560" w:hanging="1560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Default="007569C5" w:rsidP="007569C5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Default="007569C5" w:rsidP="007569C5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Pr="00B21E85" w:rsidRDefault="007569C5" w:rsidP="007569C5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Datum:  1</w:t>
              </w:r>
              <w:r w:rsidR="00D5172E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pl-PL" w:eastAsia="ja-JP"/>
                </w:rPr>
                <w:t>1</w:t>
              </w:r>
              <w:r w:rsidR="00D5172E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.1</w:t>
              </w:r>
              <w:r w:rsidR="00D5172E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Latn-RS" w:eastAsia="ja-JP"/>
                </w:rPr>
                <w:t>2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.2015.  </w:t>
              </w:r>
            </w:p>
            <w:p w:rsidR="007569C5" w:rsidRPr="00B21E85" w:rsidRDefault="007569C5" w:rsidP="007569C5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Pr="00B21E85" w:rsidRDefault="007569C5" w:rsidP="007569C5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Br.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 </w:t>
              </w:r>
              <w:r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>08/2015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z w:val="28"/>
                  <w:szCs w:val="28"/>
                  <w:lang w:val="sr-Cyrl-RS" w:eastAsia="ja-JP"/>
                </w:rPr>
                <w:t xml:space="preserve">     </w:t>
              </w:r>
            </w:p>
            <w:p w:rsidR="007569C5" w:rsidRPr="00B21E85" w:rsidRDefault="007569C5" w:rsidP="007569C5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Pr="00B21E85" w:rsidRDefault="007569C5" w:rsidP="007569C5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Pr="00B21E85" w:rsidRDefault="007569C5" w:rsidP="007569C5">
              <w:pPr>
                <w:keepNext/>
                <w:tabs>
                  <w:tab w:val="left" w:pos="567"/>
                </w:tabs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Pr="00B21E85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Pr="00B21E85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Latn-RS" w:eastAsia="ja-JP"/>
                </w:rPr>
              </w:pPr>
            </w:p>
            <w:p w:rsidR="00D5172E" w:rsidRPr="00D5172E" w:rsidRDefault="00D5172E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Latn-RS" w:eastAsia="ja-JP"/>
                </w:rPr>
              </w:pPr>
            </w:p>
            <w:p w:rsidR="007569C5" w:rsidRPr="00257E3D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Pr="00B21E85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Pr="00B21E85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sz w:val="28"/>
                  <w:szCs w:val="28"/>
                  <w:lang w:val="sr-Cyrl-RS" w:eastAsia="ja-JP"/>
                </w:rPr>
              </w:pPr>
            </w:p>
            <w:p w:rsidR="007569C5" w:rsidRPr="00B21E85" w:rsidRDefault="007569C5" w:rsidP="007569C5">
              <w:pPr>
                <w:keepNext/>
                <w:spacing w:after="0" w:line="240" w:lineRule="auto"/>
                <w:jc w:val="both"/>
                <w:rPr>
                  <w:rFonts w:ascii="Arial" w:eastAsia="MS Mincho" w:hAnsi="Arial" w:cs="Arial"/>
                  <w:bCs/>
                  <w:iCs/>
                  <w:lang w:val="sr-Cyrl-RS" w:eastAsia="ja-JP"/>
                </w:rPr>
              </w:pP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Ovo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istraživanje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je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uradila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Biblioteka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skupštine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za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potrebe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rada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narodnih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poslanika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Službe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skupštine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.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Za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više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informacija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molimo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da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nas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kontaktirate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putem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telefona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3026-532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elektronske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pošte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hyperlink r:id="rId8" w:history="1">
                <w:r w:rsidRPr="00B21E85">
                  <w:rPr>
                    <w:rFonts w:ascii="Arial" w:eastAsia="MS Mincho" w:hAnsi="Arial" w:cs="Arial"/>
                    <w:b/>
                    <w:bCs/>
                    <w:i/>
                    <w:iCs/>
                    <w:color w:val="0000FF"/>
                    <w:u w:val="single"/>
                    <w:lang w:val="sr-Cyrl-RS" w:eastAsia="ja-JP"/>
                  </w:rPr>
                  <w:t>istrazivanja@parlament.rs</w:t>
                </w:r>
                <w:r w:rsidRPr="00B21E85">
                  <w:rPr>
                    <w:rFonts w:ascii="Arial" w:eastAsia="MS Mincho" w:hAnsi="Arial" w:cs="Arial"/>
                    <w:b/>
                    <w:bCs/>
                    <w:iCs/>
                    <w:color w:val="0000FF"/>
                    <w:u w:val="single"/>
                    <w:lang w:val="sr-Cyrl-RS" w:eastAsia="ja-JP"/>
                  </w:rPr>
                  <w:t>.</w:t>
                </w:r>
              </w:hyperlink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Istraživanja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koj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a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priprema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Biblioteka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Narodne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skupštine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odražavaju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zvanični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stav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Narodne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skupštine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spacing w:val="-4"/>
                  <w:lang w:val="sr-Cyrl-RS" w:eastAsia="ja-JP"/>
                </w:rPr>
                <w:t>Republike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 </w:t>
              </w:r>
              <w:r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>Srbije</w:t>
              </w:r>
              <w:r w:rsidRPr="00B21E85">
                <w:rPr>
                  <w:rFonts w:ascii="Arial" w:eastAsia="MS Mincho" w:hAnsi="Arial" w:cs="Arial"/>
                  <w:b/>
                  <w:bCs/>
                  <w:iCs/>
                  <w:lang w:val="sr-Cyrl-RS" w:eastAsia="ja-JP"/>
                </w:rPr>
                <w:t xml:space="preserve">. </w:t>
              </w:r>
            </w:p>
            <w:p w:rsidR="007569C5" w:rsidRDefault="007569C5" w:rsidP="007569C5"/>
          </w:sdtContent>
        </w:sdt>
        <w:p w:rsidR="007569C5" w:rsidRDefault="007569C5" w:rsidP="007569C5">
          <w:pPr>
            <w:rPr>
              <w:rFonts w:ascii="Arial" w:hAnsi="Arial" w:cs="Arial"/>
              <w:b/>
              <w:bCs/>
              <w:sz w:val="20"/>
              <w:szCs w:val="20"/>
              <w:lang w:val="sr-Cyrl-RS"/>
            </w:rPr>
          </w:pPr>
        </w:p>
        <w:p w:rsidR="007569C5" w:rsidRPr="00DF4A7E" w:rsidRDefault="007569C5" w:rsidP="007569C5">
          <w:pPr>
            <w:rPr>
              <w:rFonts w:ascii="Arial" w:hAnsi="Arial" w:cs="Arial"/>
              <w:b/>
              <w:bCs/>
              <w:sz w:val="20"/>
              <w:szCs w:val="20"/>
            </w:rPr>
          </w:pPr>
        </w:p>
      </w:sdtContent>
    </w:sdt>
    <w:p w:rsidR="007569C5" w:rsidRDefault="007569C5" w:rsidP="007569C5">
      <w:pPr>
        <w:spacing w:line="360" w:lineRule="auto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</w:rPr>
        <w:t>SADRŽAJ</w:t>
      </w:r>
    </w:p>
    <w:p w:rsidR="007569C5" w:rsidRDefault="007569C5" w:rsidP="007569C5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r>
        <w:rPr>
          <w:rFonts w:cs="Arial"/>
          <w:b/>
          <w:bCs/>
          <w:sz w:val="20"/>
          <w:szCs w:val="20"/>
          <w:lang w:val="sr-Cyrl-RS"/>
        </w:rPr>
        <w:fldChar w:fldCharType="begin"/>
      </w:r>
      <w:r>
        <w:rPr>
          <w:rFonts w:cs="Arial"/>
          <w:b/>
          <w:bCs/>
          <w:sz w:val="20"/>
          <w:szCs w:val="20"/>
          <w:lang w:val="sr-Cyrl-RS"/>
        </w:rPr>
        <w:instrText xml:space="preserve"> TOC \o "1-2" \h \z \u </w:instrText>
      </w:r>
      <w:r>
        <w:rPr>
          <w:rFonts w:cs="Arial"/>
          <w:b/>
          <w:bCs/>
          <w:sz w:val="20"/>
          <w:szCs w:val="20"/>
          <w:lang w:val="sr-Cyrl-RS"/>
        </w:rPr>
        <w:fldChar w:fldCharType="separate"/>
      </w:r>
      <w:hyperlink w:anchor="_Toc436217182" w:history="1">
        <w:r>
          <w:rPr>
            <w:rStyle w:val="Hyperlink"/>
            <w:noProof/>
          </w:rPr>
          <w:t>Ciljevi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Strategije</w:t>
        </w:r>
        <w:r w:rsidRPr="006B1015">
          <w:rPr>
            <w:rStyle w:val="Hyperlink"/>
            <w:noProof/>
          </w:rPr>
          <w:t xml:space="preserve"> „</w:t>
        </w:r>
        <w:r>
          <w:rPr>
            <w:rStyle w:val="Hyperlink"/>
            <w:noProof/>
          </w:rPr>
          <w:t>Evropa</w:t>
        </w:r>
        <w:r w:rsidRPr="006B1015">
          <w:rPr>
            <w:rStyle w:val="Hyperlink"/>
            <w:noProof/>
          </w:rPr>
          <w:t xml:space="preserve"> 2020“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_Toc436217182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7569C5" w:rsidRDefault="007569C5" w:rsidP="007569C5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hyperlink w:anchor="_Toc436217183" w:history="1">
        <w:r>
          <w:rPr>
            <w:rStyle w:val="Hyperlink"/>
            <w:noProof/>
          </w:rPr>
          <w:t>Stopa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zaposlenosti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i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rizik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od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siromaštva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u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Srbiji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_Toc436217183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7569C5" w:rsidRDefault="007569C5" w:rsidP="007569C5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hyperlink w:anchor="_Toc436217184" w:history="1">
        <w:r>
          <w:rPr>
            <w:rStyle w:val="Hyperlink"/>
            <w:noProof/>
          </w:rPr>
          <w:t>Rizik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od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siromaštva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u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evropskim</w:t>
        </w:r>
        <w:r w:rsidRPr="006B1015">
          <w:rPr>
            <w:rStyle w:val="Hyperlink"/>
            <w:noProof/>
          </w:rPr>
          <w:t xml:space="preserve"> </w:t>
        </w:r>
        <w:r>
          <w:rPr>
            <w:rStyle w:val="Hyperlink"/>
            <w:noProof/>
          </w:rPr>
          <w:t>zemljama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_Toc436217184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7569C5" w:rsidRDefault="007569C5" w:rsidP="007569C5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36217185" w:history="1">
        <w:r>
          <w:rPr>
            <w:rStyle w:val="Hyperlink"/>
            <w:noProof/>
          </w:rPr>
          <w:t>Danska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_Toc436217185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7569C5" w:rsidRDefault="007569C5" w:rsidP="007569C5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36217186" w:history="1">
        <w:r>
          <w:rPr>
            <w:rStyle w:val="Hyperlink"/>
            <w:noProof/>
          </w:rPr>
          <w:t>Irska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_Toc436217186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569C5" w:rsidRDefault="007569C5" w:rsidP="007569C5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36217187" w:history="1">
        <w:r>
          <w:rPr>
            <w:rStyle w:val="Hyperlink"/>
            <w:noProof/>
          </w:rPr>
          <w:t>Nemačka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_Toc436217187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7569C5" w:rsidRDefault="007569C5" w:rsidP="007569C5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36217188" w:history="1">
        <w:r>
          <w:rPr>
            <w:rStyle w:val="Hyperlink"/>
            <w:noProof/>
          </w:rPr>
          <w:t>Norveška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_Toc436217188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569C5" w:rsidRDefault="007569C5" w:rsidP="007569C5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36217189" w:history="1">
        <w:r>
          <w:rPr>
            <w:rStyle w:val="Hyperlink"/>
            <w:noProof/>
          </w:rPr>
          <w:t>Finska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_Toc436217189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:rsidR="007569C5" w:rsidRPr="00316B74" w:rsidRDefault="007569C5" w:rsidP="007569C5">
      <w:pPr>
        <w:spacing w:line="360" w:lineRule="auto"/>
        <w:rPr>
          <w:rFonts w:ascii="Arial" w:hAnsi="Arial" w:cs="Arial"/>
          <w:b/>
          <w:b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sz w:val="20"/>
          <w:szCs w:val="20"/>
          <w:lang w:val="sr-Cyrl-RS"/>
        </w:rPr>
        <w:fldChar w:fldCharType="end"/>
      </w:r>
    </w:p>
    <w:p w:rsidR="007569C5" w:rsidRPr="00342571" w:rsidRDefault="007569C5" w:rsidP="007569C5">
      <w:pPr>
        <w:spacing w:line="360" w:lineRule="auto"/>
        <w:jc w:val="center"/>
        <w:rPr>
          <w:rFonts w:ascii="Arial" w:hAnsi="Arial" w:cs="Arial"/>
          <w:bCs/>
          <w:sz w:val="20"/>
          <w:szCs w:val="20"/>
          <w:lang w:val="sr-Cyrl-RS"/>
        </w:rPr>
      </w:pPr>
    </w:p>
    <w:p w:rsidR="007569C5" w:rsidRPr="00316B74" w:rsidRDefault="007569C5" w:rsidP="007569C5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bookmarkStart w:id="0" w:name="_GoBack"/>
      <w:bookmarkEnd w:id="0"/>
    </w:p>
    <w:p w:rsidR="007569C5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Cyrl-RS"/>
        </w:rPr>
      </w:pPr>
    </w:p>
    <w:p w:rsidR="007569C5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Cyrl-RS"/>
        </w:rPr>
      </w:pPr>
    </w:p>
    <w:p w:rsidR="007569C5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Cyrl-RS"/>
        </w:rPr>
      </w:pPr>
    </w:p>
    <w:p w:rsidR="007569C5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Cyrl-RS"/>
        </w:rPr>
      </w:pPr>
    </w:p>
    <w:p w:rsidR="007569C5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Cyrl-RS"/>
        </w:rPr>
      </w:pPr>
    </w:p>
    <w:p w:rsidR="007569C5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Cyrl-RS"/>
        </w:rPr>
      </w:pPr>
    </w:p>
    <w:p w:rsidR="007569C5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Cyrl-RS"/>
        </w:rPr>
      </w:pPr>
    </w:p>
    <w:p w:rsidR="007569C5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Cyrl-RS"/>
        </w:rPr>
      </w:pPr>
    </w:p>
    <w:p w:rsidR="007569C5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Cyrl-RS"/>
        </w:rPr>
      </w:pPr>
    </w:p>
    <w:p w:rsidR="007569C5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Cyrl-RS"/>
        </w:rPr>
      </w:pPr>
    </w:p>
    <w:p w:rsidR="007569C5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Cyrl-RS"/>
        </w:rPr>
      </w:pPr>
    </w:p>
    <w:p w:rsidR="007569C5" w:rsidRPr="00D5172E" w:rsidRDefault="007569C5" w:rsidP="007569C5">
      <w:pPr>
        <w:spacing w:line="360" w:lineRule="auto"/>
        <w:jc w:val="both"/>
        <w:rPr>
          <w:rStyle w:val="hps"/>
          <w:color w:val="222222"/>
          <w:sz w:val="20"/>
          <w:szCs w:val="20"/>
          <w:lang w:val="sr-Latn-RS"/>
        </w:rPr>
      </w:pPr>
    </w:p>
    <w:p w:rsidR="007569C5" w:rsidRPr="00686DF0" w:rsidRDefault="007569C5" w:rsidP="007569C5">
      <w:pPr>
        <w:pStyle w:val="NormalWeb"/>
        <w:spacing w:line="360" w:lineRule="auto"/>
        <w:jc w:val="both"/>
        <w:rPr>
          <w:rFonts w:ascii="Arial" w:hAnsi="Arial" w:cs="Arial"/>
          <w:color w:val="323232"/>
          <w:sz w:val="20"/>
          <w:szCs w:val="20"/>
          <w:lang w:val="sr-Cyrl-RS"/>
        </w:rPr>
      </w:pPr>
      <w:r>
        <w:rPr>
          <w:rFonts w:ascii="Arial" w:hAnsi="Arial" w:cs="Arial"/>
          <w:color w:val="323232"/>
          <w:sz w:val="20"/>
          <w:szCs w:val="20"/>
          <w:lang w:val="sr-Cyrl-RS"/>
        </w:rPr>
        <w:lastRenderedPageBreak/>
        <w:t>Zapošljavanje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uključivanje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tržište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rada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predstavlja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jedan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važnih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preduslova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ekonomske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samostalnosti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preuzimanja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odgovornosti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nivou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pojedinca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privrednog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rasta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celini</w:t>
      </w:r>
      <w:r w:rsidRPr="0016326D">
        <w:rPr>
          <w:rFonts w:ascii="Arial" w:hAnsi="Arial" w:cs="Arial"/>
          <w:color w:val="32323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Imajući u vidu podatak da je siromaštvo kod nezaposlenih lica u Srbiji znatno veće u odnosu na zaposlene (23,7% siromašnih lica u Srbiji čine nezaposleni)</w:t>
      </w:r>
      <w:r>
        <w:rPr>
          <w:rStyle w:val="FootnoteReference"/>
          <w:rFonts w:cs="Arial"/>
          <w:color w:val="323232"/>
          <w:sz w:val="20"/>
          <w:szCs w:val="20"/>
          <w:lang w:val="sr-Cyrl-RS"/>
        </w:rPr>
        <w:footnoteReference w:id="1"/>
      </w:r>
      <w:r>
        <w:rPr>
          <w:rFonts w:ascii="Arial" w:hAnsi="Arial" w:cs="Arial"/>
          <w:color w:val="323232"/>
          <w:sz w:val="20"/>
          <w:szCs w:val="20"/>
          <w:lang w:val="sr-Cyrl-RS"/>
        </w:rPr>
        <w:t xml:space="preserve">, kao i to da je </w:t>
      </w:r>
      <w:r>
        <w:rPr>
          <w:rFonts w:ascii="Arial" w:hAnsi="Arial" w:cs="Arial"/>
          <w:sz w:val="20"/>
          <w:szCs w:val="20"/>
          <w:lang w:val="sr-Cyrl-RS"/>
        </w:rPr>
        <w:t>indikator stope zaposlenosti pokazatelj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sposobnosti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ekonomije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obezbedi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mesta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istraživanju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analizira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 zajedno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stopom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projektovanim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smanjenjem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žive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riziku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nastavku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teksta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tabeli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2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prikazana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projekcija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jedan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ciljeva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Strategije „Evropa 2020“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smanjenje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žive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riziku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zemljama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2020.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7569C5" w:rsidRPr="00686DF0" w:rsidRDefault="007569C5" w:rsidP="007569C5">
      <w:pPr>
        <w:pStyle w:val="Heading1"/>
        <w:numPr>
          <w:ilvl w:val="0"/>
          <w:numId w:val="0"/>
        </w:numPr>
        <w:ind w:left="431" w:hanging="431"/>
      </w:pPr>
      <w:bookmarkStart w:id="1" w:name="_Toc436217182"/>
      <w:r>
        <w:t>Ciljevi</w:t>
      </w:r>
      <w:r w:rsidRPr="00686DF0">
        <w:t xml:space="preserve"> </w:t>
      </w:r>
      <w:r>
        <w:t>Strategije</w:t>
      </w:r>
      <w:r w:rsidRPr="00686DF0">
        <w:t xml:space="preserve"> „</w:t>
      </w:r>
      <w:r>
        <w:t>Evropa</w:t>
      </w:r>
      <w:r w:rsidRPr="00686DF0">
        <w:t xml:space="preserve"> 2020“</w:t>
      </w:r>
      <w:bookmarkEnd w:id="1"/>
    </w:p>
    <w:p w:rsidR="007569C5" w:rsidRPr="004551FE" w:rsidRDefault="007569C5" w:rsidP="007569C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Strategija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„</w:t>
      </w:r>
      <w:r>
        <w:rPr>
          <w:rFonts w:ascii="Arial" w:hAnsi="Arial" w:cs="Arial"/>
          <w:sz w:val="20"/>
          <w:szCs w:val="20"/>
          <w:lang w:val="sr-Cyrl-RS"/>
        </w:rPr>
        <w:t>Evropa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2020“ </w:t>
      </w:r>
      <w:r>
        <w:rPr>
          <w:rFonts w:ascii="Arial" w:hAnsi="Arial" w:cs="Arial"/>
          <w:sz w:val="20"/>
          <w:szCs w:val="20"/>
          <w:lang w:val="sr-Cyrl-RS"/>
        </w:rPr>
        <w:t>sadrži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listu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prioriteta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pored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osnovnih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ciljeva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stopa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zaposlenosti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radno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sposobnog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stanovništva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75%, </w:t>
      </w:r>
      <w:r>
        <w:rPr>
          <w:rFonts w:ascii="Arial" w:hAnsi="Arial" w:cs="Arial"/>
          <w:sz w:val="20"/>
          <w:szCs w:val="20"/>
          <w:lang w:val="sr-Cyrl-RS"/>
        </w:rPr>
        <w:t>investiranje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istraživanje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nove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tehnologije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(3% </w:t>
      </w:r>
      <w:r>
        <w:rPr>
          <w:rFonts w:ascii="Arial" w:hAnsi="Arial" w:cs="Arial"/>
          <w:sz w:val="20"/>
          <w:szCs w:val="20"/>
          <w:lang w:val="sr-Cyrl-RS"/>
        </w:rPr>
        <w:t>DBP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nivou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zemalja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članica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), </w:t>
      </w:r>
      <w:r>
        <w:rPr>
          <w:rFonts w:ascii="Arial" w:hAnsi="Arial" w:cs="Arial"/>
          <w:sz w:val="20"/>
          <w:szCs w:val="20"/>
          <w:lang w:val="sr-Cyrl-RS"/>
        </w:rPr>
        <w:t>smanjenje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emisija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gasova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20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%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odnosu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nivo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1990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skladu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klimatskim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promenama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održivost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energije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odnosno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oveća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nje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učešć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obnovljivih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izvora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energije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finalnoj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potrošnji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energije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20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>%</w:t>
      </w:r>
      <w:r w:rsidRPr="004551FE">
        <w:rPr>
          <w:rFonts w:ascii="Arial" w:hAnsi="Arial" w:cs="Arial"/>
          <w:color w:val="222222"/>
          <w:sz w:val="20"/>
          <w:szCs w:val="20"/>
          <w:lang w:val="sr-Cyrl-RS"/>
        </w:rPr>
        <w:t xml:space="preserve">;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4551FE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20%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povećanja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energetske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efikasnosti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delu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koji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odnosi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obrazovanje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: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manj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enje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stope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ranog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napuštanja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škole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ispod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10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>%</w:t>
      </w:r>
      <w:r w:rsidRPr="004551FE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kao</w:t>
      </w:r>
      <w:r w:rsidRPr="004551FE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4551FE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završ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etak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obrazovanje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30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34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starosti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Borba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protiv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socijalne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isključenosti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podrazumeva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manj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enje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siromaštv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najmanje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20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miliona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ljudi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koji</w:t>
      </w:r>
      <w:r w:rsidRPr="004551FE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žive</w:t>
      </w:r>
      <w:r w:rsidRPr="004551FE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sa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rizikom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siromaštva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socijalne</w:t>
      </w:r>
      <w:r w:rsidRPr="004551FE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isključenosti</w:t>
      </w:r>
      <w:r w:rsidRPr="004551FE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4551FE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Navedeno</w:t>
      </w:r>
      <w:r w:rsidRPr="004551FE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podrazumeva</w:t>
      </w:r>
      <w:r w:rsidRPr="004551FE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sledeće</w:t>
      </w:r>
      <w:r w:rsidRPr="004551FE">
        <w:rPr>
          <w:rFonts w:ascii="Arial" w:hAnsi="Arial" w:cs="Arial"/>
          <w:sz w:val="20"/>
          <w:szCs w:val="20"/>
          <w:lang w:val="sr-Cyrl-RS"/>
        </w:rPr>
        <w:t xml:space="preserve">: </w:t>
      </w:r>
    </w:p>
    <w:p w:rsidR="007569C5" w:rsidRPr="00510FC8" w:rsidRDefault="007569C5" w:rsidP="007569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510FC8">
        <w:rPr>
          <w:rFonts w:ascii="Arial" w:hAnsi="Arial" w:cs="Arial"/>
          <w:sz w:val="20"/>
          <w:szCs w:val="20"/>
          <w:lang w:val="sr-Cyrl-RS"/>
        </w:rPr>
        <w:t xml:space="preserve"> – </w:t>
      </w:r>
      <w:r>
        <w:rPr>
          <w:rFonts w:ascii="Arial" w:hAnsi="Arial" w:cs="Arial"/>
          <w:sz w:val="20"/>
          <w:szCs w:val="20"/>
          <w:lang w:val="sr-Cyrl-RS"/>
        </w:rPr>
        <w:t>razvoj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ekonomije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zasnovane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znanju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inovacijama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7569C5" w:rsidRPr="00510FC8" w:rsidRDefault="007569C5" w:rsidP="007569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510FC8">
        <w:rPr>
          <w:rFonts w:ascii="Arial" w:hAnsi="Arial" w:cs="Arial"/>
          <w:sz w:val="20"/>
          <w:szCs w:val="20"/>
          <w:lang w:val="sr-Cyrl-RS"/>
        </w:rPr>
        <w:t xml:space="preserve">– </w:t>
      </w:r>
      <w:r>
        <w:rPr>
          <w:rFonts w:ascii="Arial" w:hAnsi="Arial" w:cs="Arial"/>
          <w:sz w:val="20"/>
          <w:szCs w:val="20"/>
          <w:lang w:val="sr-Cyrl-RS"/>
        </w:rPr>
        <w:t>promovisanje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ekonomije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konkurentnija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efikasnije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resurse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održivi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rast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; </w:t>
      </w:r>
    </w:p>
    <w:p w:rsidR="007569C5" w:rsidRPr="00510FC8" w:rsidRDefault="007569C5" w:rsidP="007569C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510FC8">
        <w:rPr>
          <w:rFonts w:ascii="Arial" w:hAnsi="Arial" w:cs="Arial"/>
          <w:sz w:val="20"/>
          <w:szCs w:val="20"/>
          <w:lang w:val="sr-Cyrl-RS"/>
        </w:rPr>
        <w:t xml:space="preserve"> –</w:t>
      </w:r>
      <w:r>
        <w:rPr>
          <w:rFonts w:ascii="Arial" w:hAnsi="Arial" w:cs="Arial"/>
          <w:sz w:val="20"/>
          <w:szCs w:val="20"/>
          <w:lang w:val="sr-Cyrl-RS"/>
        </w:rPr>
        <w:t>podsticanje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ekonomije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visokom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stopom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ostvaruje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teritorijalnu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koheziju</w:t>
      </w:r>
      <w:r w:rsidRPr="00510FC8">
        <w:rPr>
          <w:rFonts w:ascii="Arial" w:hAnsi="Arial" w:cs="Arial"/>
          <w:sz w:val="20"/>
          <w:szCs w:val="20"/>
          <w:lang w:val="sr-Cyrl-RS"/>
        </w:rPr>
        <w:t>.</w:t>
      </w:r>
    </w:p>
    <w:p w:rsidR="007569C5" w:rsidRDefault="007569C5" w:rsidP="007569C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Postoji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međusobna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povezanost ciljeva, tako što se povećavanjem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nivoa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obrazovanja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povećava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smanjuje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sklopu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Strategije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„</w:t>
      </w:r>
      <w:r>
        <w:rPr>
          <w:rFonts w:ascii="Arial" w:hAnsi="Arial" w:cs="Arial"/>
          <w:sz w:val="20"/>
          <w:szCs w:val="20"/>
          <w:lang w:val="sr-Cyrl-RS"/>
        </w:rPr>
        <w:t>Evropa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2020“ </w:t>
      </w:r>
      <w:r>
        <w:rPr>
          <w:rFonts w:ascii="Arial" w:hAnsi="Arial" w:cs="Arial"/>
          <w:sz w:val="20"/>
          <w:szCs w:val="20"/>
          <w:lang w:val="sr-Cyrl-RS"/>
        </w:rPr>
        <w:t>definisana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platforma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borbu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pomoglo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ljudima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suočenim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siromaštvom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preporuka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unapređenje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saradnje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nivou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regionalne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lokalne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uključujući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partnere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predstavnike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civilnog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7569C5" w:rsidRPr="004551FE" w:rsidRDefault="007569C5" w:rsidP="007569C5">
      <w:pPr>
        <w:pStyle w:val="Heading1"/>
        <w:numPr>
          <w:ilvl w:val="0"/>
          <w:numId w:val="0"/>
        </w:numPr>
        <w:ind w:left="431"/>
      </w:pPr>
    </w:p>
    <w:p w:rsidR="007569C5" w:rsidRPr="00FD2761" w:rsidRDefault="007569C5" w:rsidP="007569C5">
      <w:pPr>
        <w:pStyle w:val="Heading1"/>
        <w:numPr>
          <w:ilvl w:val="0"/>
          <w:numId w:val="0"/>
        </w:numPr>
        <w:ind w:left="431" w:hanging="431"/>
      </w:pPr>
      <w:bookmarkStart w:id="2" w:name="_Toc436217183"/>
      <w:r>
        <w:t>Stopa zaposlenosti i rizik od siromaštva</w:t>
      </w:r>
      <w:r w:rsidRPr="00FD2761">
        <w:t xml:space="preserve"> </w:t>
      </w:r>
      <w:r>
        <w:t>u</w:t>
      </w:r>
      <w:r w:rsidRPr="00FD2761">
        <w:t xml:space="preserve"> </w:t>
      </w:r>
      <w:r>
        <w:t>Srbiji</w:t>
      </w:r>
      <w:bookmarkEnd w:id="2"/>
    </w:p>
    <w:p w:rsidR="007569C5" w:rsidRPr="00510FC8" w:rsidRDefault="007569C5" w:rsidP="007569C5">
      <w:pPr>
        <w:spacing w:before="180" w:line="360" w:lineRule="auto"/>
        <w:jc w:val="both"/>
        <w:rPr>
          <w:rFonts w:ascii="Arial" w:hAnsi="Arial" w:cs="Arial"/>
          <w:color w:val="343434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Što</w:t>
      </w:r>
      <w:r w:rsidRPr="000F696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0F696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tiče</w:t>
      </w:r>
      <w:r w:rsidRPr="000F696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tržišta</w:t>
      </w:r>
      <w:r w:rsidRPr="000F696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projekcijama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ekonomskih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analitičara</w:t>
      </w:r>
      <w:r w:rsidRPr="00510FC8">
        <w:rPr>
          <w:rStyle w:val="FootnoteReference"/>
          <w:rFonts w:cs="Arial"/>
          <w:sz w:val="20"/>
          <w:szCs w:val="20"/>
          <w:lang w:val="sr-Cyrl-RS"/>
        </w:rPr>
        <w:footnoteReference w:id="2"/>
      </w:r>
      <w:r>
        <w:rPr>
          <w:rFonts w:ascii="Arial" w:hAnsi="Arial" w:cs="Arial"/>
          <w:sz w:val="20"/>
          <w:szCs w:val="20"/>
          <w:lang w:val="sr-Cyrl-RS"/>
        </w:rPr>
        <w:t xml:space="preserve"> koje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kretanje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sposobnog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stanovništva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ukupna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nezaposlenost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2015.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blago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smanjivati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zatim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ubrzano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projektovanog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tako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nezaposlenih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2020.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340.000.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kraju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projektovanog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trebala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 da bude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>10,32%.</w:t>
      </w:r>
      <w:r w:rsidRPr="00510FC8">
        <w:rPr>
          <w:rStyle w:val="FootnoteReference"/>
          <w:rFonts w:cs="Arial"/>
          <w:sz w:val="20"/>
          <w:szCs w:val="20"/>
          <w:lang w:val="sr-Cyrl-RS"/>
        </w:rPr>
        <w:footnoteReference w:id="3"/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Takođe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prema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procenama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MMF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>-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nezaposlenosti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kojom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će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Srbija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završiti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ovu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godinu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projektovana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20,7%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ali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očekuju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pozitivni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trendovi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>.</w:t>
      </w:r>
    </w:p>
    <w:p w:rsidR="007569C5" w:rsidRPr="00510FC8" w:rsidRDefault="007569C5" w:rsidP="007569C5">
      <w:pPr>
        <w:spacing w:before="18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hAnsi="Arial" w:cs="Arial"/>
          <w:color w:val="343434"/>
          <w:sz w:val="20"/>
          <w:szCs w:val="20"/>
          <w:lang w:val="sr-Cyrl-RS"/>
        </w:rPr>
        <w:t>Prema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poslednjim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raspoloživim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podacima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Republičkog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zavoda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statistiku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-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RZS</w:t>
      </w:r>
      <w:r w:rsidRPr="00510FC8">
        <w:rPr>
          <w:rStyle w:val="FootnoteReference"/>
          <w:rFonts w:cs="Arial"/>
          <w:color w:val="343434"/>
          <w:sz w:val="20"/>
          <w:szCs w:val="20"/>
          <w:lang w:val="sr-Cyrl-RS"/>
        </w:rPr>
        <w:footnoteReference w:id="4"/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ukupna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stopa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nezaposlenosti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drugom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kvartalu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ove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iznosila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17,9% </w:t>
      </w:r>
      <w:r>
        <w:rPr>
          <w:rFonts w:ascii="Arial" w:eastAsia="Times New Roman" w:hAnsi="Arial" w:cs="Arial"/>
          <w:sz w:val="20"/>
          <w:szCs w:val="20"/>
          <w:lang w:val="sr-Cyrl-RS"/>
        </w:rPr>
        <w:t>što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1,3 </w:t>
      </w:r>
      <w:r>
        <w:rPr>
          <w:rFonts w:ascii="Arial" w:hAnsi="Arial" w:cs="Arial"/>
          <w:sz w:val="20"/>
          <w:szCs w:val="20"/>
          <w:lang w:val="sr-Cyrl-RS"/>
        </w:rPr>
        <w:t>procentnih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poena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nego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prvom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kvartalu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stopa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nezaposlenosti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lica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radnog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uzrasta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15-64 </w:t>
      </w:r>
      <w:r>
        <w:rPr>
          <w:rFonts w:ascii="Arial" w:eastAsia="Times New Roman" w:hAnsi="Arial" w:cs="Arial"/>
          <w:sz w:val="20"/>
          <w:szCs w:val="20"/>
          <w:lang w:val="sr-Cyrl-RS"/>
        </w:rPr>
        <w:t>godina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isti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period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18,4%. </w:t>
      </w:r>
      <w:r>
        <w:rPr>
          <w:rFonts w:ascii="Arial" w:eastAsia="Times New Roman" w:hAnsi="Arial" w:cs="Arial"/>
          <w:sz w:val="20"/>
          <w:szCs w:val="20"/>
          <w:lang w:val="sr-Cyrl-RS"/>
        </w:rPr>
        <w:t>Takođe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zabeležena je stopa zaposlenosti od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51,7%,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dok se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odnosu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isti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period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prošle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beleži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rast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 2,4%.</w:t>
      </w:r>
    </w:p>
    <w:p w:rsidR="007569C5" w:rsidRPr="00510FC8" w:rsidRDefault="007569C5" w:rsidP="007569C5">
      <w:pPr>
        <w:spacing w:line="360" w:lineRule="auto"/>
        <w:jc w:val="both"/>
        <w:rPr>
          <w:rFonts w:ascii="Arial" w:eastAsia="Times New Roman" w:hAnsi="Arial" w:cs="Arial"/>
          <w:color w:val="343434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2014.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opala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3,2 </w:t>
      </w:r>
      <w:r>
        <w:rPr>
          <w:rFonts w:ascii="Arial" w:hAnsi="Arial" w:cs="Arial"/>
          <w:sz w:val="20"/>
          <w:szCs w:val="20"/>
          <w:lang w:val="sr-Cyrl-RS"/>
        </w:rPr>
        <w:t>procentna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poena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kraju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prošle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iznosila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16,8%, </w:t>
      </w:r>
      <w:r>
        <w:rPr>
          <w:rFonts w:ascii="Arial" w:hAnsi="Arial" w:cs="Arial"/>
          <w:sz w:val="20"/>
          <w:szCs w:val="20"/>
          <w:lang w:val="sr-Cyrl-RS"/>
        </w:rPr>
        <w:t>navodi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RZS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Anketna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četvrti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kvartal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2014.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bila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50,4% (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stanovništvo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15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do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64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),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a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broj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zaposlenih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 xml:space="preserve"> 2.322.201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lice</w:t>
      </w:r>
      <w:r w:rsidRPr="00510FC8">
        <w:rPr>
          <w:rFonts w:ascii="Arial" w:hAnsi="Arial" w:cs="Arial"/>
          <w:color w:val="343434"/>
          <w:sz w:val="20"/>
          <w:szCs w:val="20"/>
          <w:lang w:val="sr-Cyrl-RS"/>
        </w:rPr>
        <w:t>.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Prema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podacima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RZS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rast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zaposlenosti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2014.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godine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doveo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je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do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povećanja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broja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zaposlenih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za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53.451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lice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u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odnosu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na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oktobar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 xml:space="preserve"> 2013. </w:t>
      </w:r>
      <w:r>
        <w:rPr>
          <w:rFonts w:ascii="Arial" w:eastAsia="Times New Roman" w:hAnsi="Arial" w:cs="Arial"/>
          <w:color w:val="343434"/>
          <w:sz w:val="20"/>
          <w:szCs w:val="20"/>
          <w:lang w:val="sr-Cyrl-RS"/>
        </w:rPr>
        <w:t>godine</w:t>
      </w:r>
      <w:r w:rsidRPr="00510FC8">
        <w:rPr>
          <w:rFonts w:ascii="Arial" w:eastAsia="Times New Roman" w:hAnsi="Arial" w:cs="Arial"/>
          <w:color w:val="343434"/>
          <w:sz w:val="20"/>
          <w:szCs w:val="20"/>
          <w:lang w:val="sr-Cyrl-RS"/>
        </w:rPr>
        <w:t>.</w:t>
      </w:r>
      <w:r w:rsidRPr="00510FC8">
        <w:rPr>
          <w:rStyle w:val="FootnoteReference"/>
          <w:rFonts w:cs="Arial"/>
          <w:color w:val="343434"/>
          <w:sz w:val="20"/>
          <w:szCs w:val="20"/>
          <w:lang w:val="sr-Cyrl-RS"/>
        </w:rPr>
        <w:footnoteReference w:id="5"/>
      </w:r>
    </w:p>
    <w:p w:rsidR="007569C5" w:rsidRDefault="007569C5" w:rsidP="007569C5">
      <w:pPr>
        <w:spacing w:before="180"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Prema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istom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izvoru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stopa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rizika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> 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godini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iznosila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25,6%. </w:t>
      </w:r>
    </w:p>
    <w:p w:rsidR="007569C5" w:rsidRPr="00510FC8" w:rsidRDefault="007569C5" w:rsidP="007569C5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Prema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podacima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Ankete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dohotku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života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510FC8">
        <w:rPr>
          <w:rFonts w:ascii="Arial" w:hAnsi="Arial" w:cs="Arial"/>
          <w:i/>
          <w:sz w:val="20"/>
          <w:szCs w:val="20"/>
          <w:lang w:val="sr-Cyrl-RS"/>
        </w:rPr>
        <w:t>Statistics on Income and Living Conditions - SILC)</w:t>
      </w:r>
      <w:r w:rsidRPr="00510FC8">
        <w:rPr>
          <w:rStyle w:val="FootnoteReference"/>
          <w:rFonts w:cs="Arial"/>
          <w:i/>
          <w:sz w:val="20"/>
          <w:szCs w:val="20"/>
          <w:lang w:val="sr-Cyrl-RS"/>
        </w:rPr>
        <w:footnoteReference w:id="6"/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42,1%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miliona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izloženo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riziku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isključenosti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Ta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vrednost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znatno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vrednosti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proseka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28 </w:t>
      </w:r>
      <w:r>
        <w:rPr>
          <w:rFonts w:ascii="Arial" w:hAnsi="Arial" w:cs="Arial"/>
          <w:sz w:val="20"/>
          <w:szCs w:val="20"/>
          <w:lang w:val="sr-Cyrl-RS"/>
        </w:rPr>
        <w:t>zemalja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(24,3%)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proseka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novih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12 </w:t>
      </w:r>
      <w:r>
        <w:rPr>
          <w:rFonts w:ascii="Arial" w:hAnsi="Arial" w:cs="Arial"/>
          <w:sz w:val="20"/>
          <w:szCs w:val="20"/>
          <w:lang w:val="sr-Cyrl-RS"/>
        </w:rPr>
        <w:t>zemalja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(30,7%). </w:t>
      </w:r>
      <w:r>
        <w:rPr>
          <w:rFonts w:ascii="Arial" w:hAnsi="Arial" w:cs="Arial"/>
          <w:sz w:val="20"/>
          <w:szCs w:val="20"/>
          <w:lang w:val="sr-Cyrl-RS"/>
        </w:rPr>
        <w:t>Posle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Bugarske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Rumunije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vrednost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nego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kojoj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drugoj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sz w:val="20"/>
          <w:szCs w:val="20"/>
          <w:lang w:val="sr-Cyrl-RS"/>
        </w:rPr>
        <w:t>.</w:t>
      </w:r>
    </w:p>
    <w:p w:rsidR="007569C5" w:rsidRPr="00510FC8" w:rsidRDefault="007569C5" w:rsidP="007569C5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Prema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navedenom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izvoru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čak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65,1 </w:t>
      </w:r>
      <w:r>
        <w:rPr>
          <w:rFonts w:ascii="Arial" w:hAnsi="Arial" w:cs="Arial"/>
          <w:sz w:val="20"/>
          <w:szCs w:val="20"/>
          <w:lang w:val="sr-Cyrl-RS"/>
        </w:rPr>
        <w:t>procenata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stanovništva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suočeno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određenim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faktorom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rizika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budući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intenzitet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domaćinstva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preduslov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višeg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dohotka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boljeg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životnog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standarda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7569C5" w:rsidRDefault="007569C5" w:rsidP="007569C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color w:val="323232"/>
          <w:sz w:val="20"/>
          <w:szCs w:val="20"/>
          <w:lang w:val="sr-Cyrl-RS"/>
        </w:rPr>
        <w:lastRenderedPageBreak/>
        <w:t>Pokazatelji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izračunati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iz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Ankete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dohotku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uslovima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života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prag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rizika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utvrđuje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tako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izračuna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ekvivalentni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dohodak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članu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domaćinstva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rizika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procenat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lica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koje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imaju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raspoloživi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dohodak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ispod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praga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rizika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>.</w:t>
      </w:r>
      <w:r>
        <w:rPr>
          <w:rFonts w:ascii="Arial" w:hAnsi="Arial" w:cs="Arial"/>
          <w:color w:val="323232"/>
          <w:sz w:val="20"/>
          <w:szCs w:val="20"/>
          <w:lang w:val="sr-Cyrl-RS"/>
        </w:rPr>
        <w:t xml:space="preserve"> 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Srbiji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2014.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prema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podacima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RZS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relativna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linija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rizika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2014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13 408 </w:t>
      </w:r>
      <w:r>
        <w:rPr>
          <w:rFonts w:ascii="Arial" w:hAnsi="Arial" w:cs="Arial"/>
          <w:sz w:val="20"/>
          <w:szCs w:val="20"/>
          <w:lang w:val="sr-Cyrl-RS"/>
        </w:rPr>
        <w:t>RSD</w:t>
      </w:r>
      <w:r w:rsidRPr="00510FC8">
        <w:rPr>
          <w:rFonts w:ascii="Arial" w:hAnsi="Arial" w:cs="Arial"/>
          <w:sz w:val="20"/>
          <w:szCs w:val="20"/>
          <w:lang w:val="sr-Cyrl-RS"/>
        </w:rPr>
        <w:t>.</w:t>
      </w:r>
      <w:r>
        <w:rPr>
          <w:rStyle w:val="FootnoteReference"/>
          <w:rFonts w:cs="Arial"/>
          <w:sz w:val="20"/>
          <w:szCs w:val="20"/>
          <w:lang w:val="sr-Cyrl-RS"/>
        </w:rPr>
        <w:footnoteReference w:id="7"/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govori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licima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domaćinstvima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veoma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malo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imaju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relativno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nizak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dohodak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8,9% </w:t>
      </w:r>
      <w:r>
        <w:rPr>
          <w:rFonts w:ascii="Arial" w:hAnsi="Arial" w:cs="Arial"/>
          <w:bCs/>
          <w:sz w:val="20"/>
          <w:szCs w:val="20"/>
          <w:lang w:val="sr-Cyrl-RS"/>
        </w:rPr>
        <w:t>stanovništva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je siromašno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i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živi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u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domaćinstvima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sa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veoma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niskim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radnim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intenzitetom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>.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narednoj tabeli vidi se kretanje stope sirmaštva u Srbiji.</w:t>
      </w:r>
    </w:p>
    <w:p w:rsidR="007569C5" w:rsidRPr="00E66589" w:rsidRDefault="007569C5" w:rsidP="007569C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Tabela</w:t>
      </w:r>
      <w:r w:rsidRPr="00714469">
        <w:rPr>
          <w:rFonts w:ascii="Arial" w:hAnsi="Arial" w:cs="Arial"/>
          <w:b/>
          <w:sz w:val="20"/>
          <w:szCs w:val="20"/>
          <w:lang w:val="sr-Cyrl-RS"/>
        </w:rPr>
        <w:t xml:space="preserve"> 1.: </w:t>
      </w:r>
      <w:r>
        <w:rPr>
          <w:rFonts w:ascii="Arial" w:hAnsi="Arial" w:cs="Arial"/>
          <w:sz w:val="20"/>
          <w:szCs w:val="20"/>
          <w:lang w:val="sr-Cyrl-RS"/>
        </w:rPr>
        <w:t>Procanat</w:t>
      </w:r>
      <w:r w:rsidRPr="00E665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siromašnih</w:t>
      </w:r>
      <w:r w:rsidRPr="00E665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E665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E665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E665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godinama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7569C5" w:rsidTr="00D5172E">
        <w:trPr>
          <w:jc w:val="center"/>
        </w:trPr>
        <w:tc>
          <w:tcPr>
            <w:tcW w:w="1848" w:type="dxa"/>
          </w:tcPr>
          <w:p w:rsidR="007569C5" w:rsidRDefault="007569C5" w:rsidP="00D5172E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  <w:t>godina</w:t>
            </w:r>
          </w:p>
        </w:tc>
        <w:tc>
          <w:tcPr>
            <w:tcW w:w="1848" w:type="dxa"/>
          </w:tcPr>
          <w:p w:rsidR="007569C5" w:rsidRDefault="007569C5" w:rsidP="00D5172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  <w:t>2008</w:t>
            </w:r>
          </w:p>
        </w:tc>
        <w:tc>
          <w:tcPr>
            <w:tcW w:w="1849" w:type="dxa"/>
          </w:tcPr>
          <w:p w:rsidR="007569C5" w:rsidRDefault="007569C5" w:rsidP="00D5172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  <w:t>2010</w:t>
            </w:r>
          </w:p>
        </w:tc>
        <w:tc>
          <w:tcPr>
            <w:tcW w:w="1849" w:type="dxa"/>
          </w:tcPr>
          <w:p w:rsidR="007569C5" w:rsidRDefault="007569C5" w:rsidP="00D5172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  <w:t>2012</w:t>
            </w:r>
          </w:p>
        </w:tc>
        <w:tc>
          <w:tcPr>
            <w:tcW w:w="1849" w:type="dxa"/>
          </w:tcPr>
          <w:p w:rsidR="007569C5" w:rsidRDefault="007569C5" w:rsidP="00D5172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  <w:t>2014</w:t>
            </w:r>
          </w:p>
        </w:tc>
      </w:tr>
      <w:tr w:rsidR="007569C5" w:rsidTr="00D5172E">
        <w:trPr>
          <w:jc w:val="center"/>
        </w:trPr>
        <w:tc>
          <w:tcPr>
            <w:tcW w:w="1848" w:type="dxa"/>
          </w:tcPr>
          <w:p w:rsidR="007569C5" w:rsidRDefault="007569C5" w:rsidP="00D5172E">
            <w:pPr>
              <w:pStyle w:val="NormalWeb"/>
              <w:spacing w:line="360" w:lineRule="auto"/>
              <w:jc w:val="both"/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Default="007569C5" w:rsidP="00D5172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  <w:t>6,1</w:t>
            </w:r>
          </w:p>
        </w:tc>
        <w:tc>
          <w:tcPr>
            <w:tcW w:w="1849" w:type="dxa"/>
          </w:tcPr>
          <w:p w:rsidR="007569C5" w:rsidRDefault="007569C5" w:rsidP="00D5172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  <w:t>9,2</w:t>
            </w:r>
          </w:p>
        </w:tc>
        <w:tc>
          <w:tcPr>
            <w:tcW w:w="1849" w:type="dxa"/>
          </w:tcPr>
          <w:p w:rsidR="007569C5" w:rsidRDefault="007569C5" w:rsidP="00D5172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  <w:t>8,8</w:t>
            </w:r>
          </w:p>
        </w:tc>
        <w:tc>
          <w:tcPr>
            <w:tcW w:w="1849" w:type="dxa"/>
          </w:tcPr>
          <w:p w:rsidR="007569C5" w:rsidRDefault="007569C5" w:rsidP="00D5172E">
            <w:pPr>
              <w:pStyle w:val="NormalWeb"/>
              <w:spacing w:line="360" w:lineRule="auto"/>
              <w:jc w:val="center"/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323232"/>
                <w:sz w:val="20"/>
                <w:szCs w:val="20"/>
                <w:lang w:val="sr-Cyrl-RS"/>
              </w:rPr>
              <w:t>8,9</w:t>
            </w:r>
          </w:p>
        </w:tc>
      </w:tr>
    </w:tbl>
    <w:p w:rsidR="007569C5" w:rsidRPr="00E66589" w:rsidRDefault="007569C5" w:rsidP="007569C5">
      <w:pPr>
        <w:rPr>
          <w:rFonts w:ascii="Arial" w:hAnsi="Arial"/>
          <w:bCs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Izvor</w:t>
      </w:r>
      <w:r w:rsidRPr="00E66589">
        <w:rPr>
          <w:rFonts w:ascii="Arial" w:hAnsi="Arial" w:cs="Arial"/>
          <w:sz w:val="20"/>
          <w:szCs w:val="20"/>
          <w:lang w:val="sr-Cyrl-RS"/>
        </w:rPr>
        <w:t>:</w:t>
      </w:r>
      <w:r w:rsidRPr="00E66589">
        <w:rPr>
          <w:rFonts w:ascii="Arial" w:hAnsi="Arial"/>
          <w:bCs/>
          <w:color w:val="365F91"/>
          <w:sz w:val="20"/>
          <w:szCs w:val="20"/>
          <w:lang w:val="sr-Latn-CS"/>
        </w:rPr>
        <w:t xml:space="preserve"> </w:t>
      </w:r>
      <w:r>
        <w:rPr>
          <w:rFonts w:ascii="Arial" w:hAnsi="Arial"/>
          <w:bCs/>
          <w:sz w:val="20"/>
          <w:szCs w:val="20"/>
          <w:lang w:val="sr-Cyrl-RS"/>
        </w:rPr>
        <w:t>Siromaštvo</w:t>
      </w:r>
      <w:r w:rsidRPr="00E66589">
        <w:rPr>
          <w:rFonts w:ascii="Arial" w:hAnsi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/>
          <w:bCs/>
          <w:sz w:val="20"/>
          <w:szCs w:val="20"/>
          <w:lang w:val="sr-Cyrl-RS"/>
        </w:rPr>
        <w:t>u</w:t>
      </w:r>
      <w:r w:rsidRPr="00E66589">
        <w:rPr>
          <w:rFonts w:ascii="Arial" w:hAnsi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/>
          <w:bCs/>
          <w:sz w:val="20"/>
          <w:szCs w:val="20"/>
          <w:lang w:val="sr-Cyrl-RS"/>
        </w:rPr>
        <w:t>Srbiji</w:t>
      </w:r>
      <w:r w:rsidRPr="00E66589">
        <w:rPr>
          <w:rFonts w:ascii="Arial" w:hAnsi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/>
          <w:bCs/>
          <w:sz w:val="20"/>
          <w:szCs w:val="20"/>
          <w:lang w:val="sr-Cyrl-RS"/>
        </w:rPr>
        <w:t>u</w:t>
      </w:r>
      <w:r w:rsidRPr="00E66589">
        <w:rPr>
          <w:rFonts w:ascii="Arial" w:hAnsi="Arial"/>
          <w:bCs/>
          <w:sz w:val="20"/>
          <w:szCs w:val="20"/>
          <w:lang w:val="sr-Cyrl-RS"/>
        </w:rPr>
        <w:t xml:space="preserve"> 2014 </w:t>
      </w:r>
      <w:r>
        <w:rPr>
          <w:rFonts w:ascii="Arial" w:hAnsi="Arial"/>
          <w:bCs/>
          <w:sz w:val="20"/>
          <w:szCs w:val="20"/>
          <w:lang w:val="sr-Cyrl-RS"/>
        </w:rPr>
        <w:t>godini</w:t>
      </w:r>
      <w:r w:rsidRPr="00E66589">
        <w:rPr>
          <w:rFonts w:ascii="Arial" w:hAnsi="Arial"/>
          <w:bCs/>
          <w:sz w:val="20"/>
          <w:szCs w:val="20"/>
          <w:lang w:val="sr-Cyrl-RS"/>
        </w:rPr>
        <w:t xml:space="preserve">, </w:t>
      </w:r>
      <w:r>
        <w:rPr>
          <w:rFonts w:ascii="Arial" w:hAnsi="Arial"/>
          <w:bCs/>
          <w:sz w:val="20"/>
          <w:szCs w:val="20"/>
          <w:lang w:val="sr-Cyrl-RS"/>
        </w:rPr>
        <w:t>avgust</w:t>
      </w:r>
      <w:r w:rsidRPr="00E66589">
        <w:rPr>
          <w:rFonts w:ascii="Arial" w:hAnsi="Arial"/>
          <w:bCs/>
          <w:sz w:val="20"/>
          <w:szCs w:val="20"/>
          <w:lang w:val="sr-Cyrl-RS"/>
        </w:rPr>
        <w:t xml:space="preserve"> 2015.</w:t>
      </w:r>
    </w:p>
    <w:p w:rsidR="007569C5" w:rsidRPr="00E66589" w:rsidRDefault="007569C5" w:rsidP="007569C5">
      <w:pPr>
        <w:autoSpaceDE w:val="0"/>
        <w:autoSpaceDN w:val="0"/>
        <w:adjustRightInd w:val="0"/>
        <w:rPr>
          <w:rFonts w:ascii="Arial" w:hAnsi="Arial" w:cs="Arial"/>
          <w:bCs/>
          <w:sz w:val="20"/>
          <w:szCs w:val="20"/>
          <w:u w:val="single"/>
          <w:lang w:val="sr-Latn-CS"/>
        </w:rPr>
      </w:pPr>
      <w:r>
        <w:rPr>
          <w:rFonts w:ascii="Arial" w:hAnsi="Arial" w:cs="Arial"/>
          <w:bCs/>
          <w:sz w:val="20"/>
          <w:szCs w:val="20"/>
          <w:lang w:val="sr-Cyrl-RS"/>
        </w:rPr>
        <w:t>Prema</w:t>
      </w:r>
      <w:r w:rsidRPr="00E66589">
        <w:rPr>
          <w:rFonts w:ascii="Arial" w:hAnsi="Arial" w:cs="Arial"/>
          <w:bCs/>
          <w:sz w:val="20"/>
          <w:szCs w:val="20"/>
          <w:lang w:val="sr-Cyrl-RS"/>
        </w:rPr>
        <w:t>:</w:t>
      </w:r>
      <w:r w:rsidRPr="00B61DB7">
        <w:rPr>
          <w:rFonts w:ascii="Arial" w:hAnsi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/>
          <w:bCs/>
          <w:sz w:val="20"/>
          <w:szCs w:val="20"/>
          <w:lang w:val="sr-Cyrl-RS"/>
        </w:rPr>
        <w:t>Mijatović,B.,</w:t>
      </w:r>
      <w:r w:rsidRPr="00E6658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Siromaštvo</w:t>
      </w:r>
      <w:r w:rsidRPr="00E6658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u</w:t>
      </w:r>
      <w:r w:rsidRPr="00E6658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Srbiji</w:t>
      </w:r>
      <w:r w:rsidRPr="00E6658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E66589">
        <w:rPr>
          <w:rFonts w:ascii="Arial" w:hAnsi="Arial" w:cs="Arial"/>
          <w:bCs/>
          <w:sz w:val="20"/>
          <w:szCs w:val="20"/>
          <w:lang w:val="sr-Latn-CS"/>
        </w:rPr>
        <w:t>, 2008-2014.</w:t>
      </w:r>
      <w:r>
        <w:rPr>
          <w:rFonts w:ascii="Arial" w:hAnsi="Arial" w:cs="Arial"/>
          <w:bCs/>
          <w:sz w:val="20"/>
          <w:szCs w:val="20"/>
          <w:lang w:val="sr-Cyrl-RS"/>
        </w:rPr>
        <w:t>,Tabela</w:t>
      </w:r>
      <w:r w:rsidRPr="00686DF0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E66589">
        <w:rPr>
          <w:rFonts w:ascii="Arial" w:hAnsi="Arial" w:cs="Arial"/>
          <w:bCs/>
          <w:sz w:val="20"/>
          <w:szCs w:val="20"/>
          <w:lang w:val="sr-Cyrl-RS"/>
        </w:rPr>
        <w:t>14.</w:t>
      </w:r>
    </w:p>
    <w:p w:rsidR="007569C5" w:rsidRPr="007E2F11" w:rsidRDefault="007569C5" w:rsidP="007569C5">
      <w:pPr>
        <w:rPr>
          <w:rFonts w:ascii="Arial" w:hAnsi="Arial"/>
          <w:bCs/>
          <w:sz w:val="20"/>
          <w:szCs w:val="20"/>
          <w:lang w:val="sr-Latn-CS"/>
        </w:rPr>
      </w:pPr>
    </w:p>
    <w:p w:rsidR="007569C5" w:rsidRPr="00510FC8" w:rsidRDefault="007569C5" w:rsidP="007569C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Struktura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pokazuje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najviše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pogođene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ranjive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kategorije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deca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mladi</w:t>
      </w:r>
      <w:r w:rsidRPr="0071446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a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niže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obrazovani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koji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su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više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izloženi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riziku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od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siromaštva</w:t>
      </w:r>
      <w:r w:rsidRPr="00714469">
        <w:rPr>
          <w:rFonts w:ascii="Arial" w:hAnsi="Arial" w:cs="Arial"/>
          <w:bCs/>
          <w:sz w:val="20"/>
          <w:szCs w:val="20"/>
          <w:lang w:val="sr-Cyrl-RS"/>
        </w:rPr>
        <w:t>.</w:t>
      </w:r>
      <w:r w:rsidRPr="00510FC8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Stope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dece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Srbiji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znatno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iznad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prosečnih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opštu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populaciju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mnogo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veće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nego u drugim evropskim zemljama. Utvrđeno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visoke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stope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među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decom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Srbiji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nisu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samo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posledica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niske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potrošnje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dečje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dodatke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novčanu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socijalnu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pomoć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već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posledica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karakteristika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socijalnih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naknada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Ranije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studije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sadrže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nekoliko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rešenja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ali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projekat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FREN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>-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"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Smanjenje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dece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Srbiji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balansiranje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između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unapređenih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socijalnih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naknada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politika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promovišu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zaposlenje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roditelja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>"</w:t>
      </w:r>
      <w:r w:rsidRPr="00510FC8">
        <w:rPr>
          <w:rStyle w:val="FootnoteReference"/>
          <w:rFonts w:cs="Arial"/>
          <w:color w:val="000000"/>
          <w:sz w:val="20"/>
          <w:szCs w:val="20"/>
          <w:lang w:val="sr-Cyrl-RS"/>
        </w:rPr>
        <w:footnoteReference w:id="8"/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prvi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ocenjuje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uticaj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određenih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reformskih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rešenja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stopu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dece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kao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državni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budžet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. </w:t>
      </w:r>
    </w:p>
    <w:p w:rsidR="007569C5" w:rsidRPr="00510FC8" w:rsidRDefault="007569C5" w:rsidP="007569C5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Iako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rizika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dece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znatno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nego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28 </w:t>
      </w:r>
      <w:r>
        <w:rPr>
          <w:rFonts w:ascii="Arial" w:hAnsi="Arial" w:cs="Arial"/>
          <w:sz w:val="20"/>
          <w:szCs w:val="20"/>
          <w:lang w:val="sr-Cyrl-RS"/>
        </w:rPr>
        <w:t>zemalja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analitičari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navode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relativan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položaj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dece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prosek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populacije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približno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28 </w:t>
      </w:r>
      <w:r>
        <w:rPr>
          <w:rFonts w:ascii="Arial" w:hAnsi="Arial" w:cs="Arial"/>
          <w:sz w:val="20"/>
          <w:szCs w:val="20"/>
          <w:lang w:val="sr-Cyrl-RS"/>
        </w:rPr>
        <w:t>zemalja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sz w:val="20"/>
          <w:szCs w:val="20"/>
          <w:lang w:val="sr-Cyrl-RS"/>
        </w:rPr>
        <w:t>.</w:t>
      </w:r>
    </w:p>
    <w:p w:rsidR="007569C5" w:rsidRPr="00510FC8" w:rsidRDefault="007569C5" w:rsidP="007569C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Zabrinjavajući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podatak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od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ukupnog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broja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siromašnih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Srbiji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prošle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godine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čak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50,7% </w:t>
      </w:r>
      <w:r>
        <w:rPr>
          <w:rFonts w:ascii="Arial" w:hAnsi="Arial" w:cs="Arial"/>
          <w:bCs/>
          <w:sz w:val="20"/>
          <w:szCs w:val="20"/>
          <w:lang w:val="sr-Cyrl-RS"/>
        </w:rPr>
        <w:t>odnosi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na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lica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starosti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od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25-65 </w:t>
      </w:r>
      <w:r>
        <w:rPr>
          <w:rFonts w:ascii="Arial" w:hAnsi="Arial" w:cs="Arial"/>
          <w:bCs/>
          <w:sz w:val="20"/>
          <w:szCs w:val="20"/>
          <w:lang w:val="sr-Cyrl-RS"/>
        </w:rPr>
        <w:t>godina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bCs/>
          <w:sz w:val="20"/>
          <w:szCs w:val="20"/>
          <w:lang w:val="sr-Cyrl-RS"/>
        </w:rPr>
        <w:t>dok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je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procenat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siromašnih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starosti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do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13 </w:t>
      </w:r>
      <w:r>
        <w:rPr>
          <w:rFonts w:ascii="Arial" w:hAnsi="Arial" w:cs="Arial"/>
          <w:bCs/>
          <w:sz w:val="20"/>
          <w:szCs w:val="20"/>
          <w:lang w:val="sr-Cyrl-RS"/>
        </w:rPr>
        <w:t>godina</w:t>
      </w:r>
      <w:r w:rsidRPr="00885212">
        <w:rPr>
          <w:rFonts w:ascii="Arial" w:hAnsi="Arial" w:cs="Arial"/>
          <w:bCs/>
          <w:sz w:val="20"/>
          <w:szCs w:val="20"/>
          <w:lang w:val="sr-Cyrl-RS"/>
        </w:rPr>
        <w:t xml:space="preserve"> 17,4%.</w:t>
      </w:r>
      <w:r w:rsidRPr="00885212">
        <w:rPr>
          <w:rStyle w:val="FootnoteReference"/>
          <w:rFonts w:cs="Arial"/>
          <w:sz w:val="20"/>
          <w:szCs w:val="20"/>
          <w:lang w:val="sr-Cyrl-RS"/>
        </w:rPr>
        <w:footnoteReference w:id="9"/>
      </w: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Prema podacima ARS iz oktobra 2013. stopa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mladih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(15-24) </w:t>
      </w:r>
      <w:r>
        <w:rPr>
          <w:rFonts w:ascii="Arial" w:hAnsi="Arial" w:cs="Arial"/>
          <w:sz w:val="20"/>
          <w:szCs w:val="20"/>
          <w:lang w:val="sr-Cyrl-RS"/>
        </w:rPr>
        <w:t>iznosi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50%, </w:t>
      </w:r>
      <w:r>
        <w:rPr>
          <w:rFonts w:ascii="Arial" w:hAnsi="Arial" w:cs="Arial"/>
          <w:sz w:val="20"/>
          <w:szCs w:val="20"/>
          <w:lang w:val="sr-Cyrl-RS"/>
        </w:rPr>
        <w:t>dok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četvrtina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mladih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spada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kategoriju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nisu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školuju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usavršavaju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510FC8">
        <w:rPr>
          <w:rFonts w:ascii="Arial" w:hAnsi="Arial" w:cs="Arial"/>
          <w:i/>
          <w:sz w:val="20"/>
          <w:szCs w:val="20"/>
          <w:lang w:val="sr-Cyrl-RS"/>
        </w:rPr>
        <w:t xml:space="preserve">NEET - not in employment, education </w:t>
      </w:r>
      <w:r w:rsidRPr="00510FC8">
        <w:rPr>
          <w:rFonts w:ascii="Arial" w:hAnsi="Arial" w:cs="Arial"/>
          <w:i/>
          <w:sz w:val="20"/>
          <w:szCs w:val="20"/>
          <w:lang w:val="sr-Cyrl-RS"/>
        </w:rPr>
        <w:lastRenderedPageBreak/>
        <w:t>or training</w:t>
      </w:r>
      <w:r w:rsidRPr="00510FC8">
        <w:rPr>
          <w:rFonts w:ascii="Arial" w:hAnsi="Arial" w:cs="Arial"/>
          <w:sz w:val="20"/>
          <w:szCs w:val="20"/>
          <w:lang w:val="sr-Cyrl-RS"/>
        </w:rPr>
        <w:t>).</w:t>
      </w:r>
      <w:r w:rsidRPr="00510FC8">
        <w:rPr>
          <w:rStyle w:val="FootnoteReference"/>
          <w:rFonts w:cs="Arial"/>
          <w:sz w:val="20"/>
          <w:szCs w:val="20"/>
          <w:lang w:val="sr-Cyrl-RS"/>
        </w:rPr>
        <w:footnoteReference w:id="10"/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podacima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ARS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4 </w:t>
      </w:r>
      <w:r>
        <w:rPr>
          <w:rFonts w:ascii="Arial" w:hAnsi="Arial" w:cs="Arial"/>
          <w:sz w:val="20"/>
          <w:szCs w:val="20"/>
          <w:lang w:val="sr-Cyrl-RS"/>
        </w:rPr>
        <w:t>kvartal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2014. </w:t>
      </w:r>
      <w:r>
        <w:rPr>
          <w:rFonts w:ascii="Arial" w:hAnsi="Arial" w:cs="Arial"/>
          <w:sz w:val="20"/>
          <w:szCs w:val="20"/>
          <w:lang w:val="sr-Cyrl-RS"/>
        </w:rPr>
        <w:t>odine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učešće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mladih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30 </w:t>
      </w:r>
      <w:r>
        <w:rPr>
          <w:rFonts w:ascii="Arial" w:hAnsi="Arial" w:cs="Arial"/>
          <w:sz w:val="20"/>
          <w:szCs w:val="20"/>
          <w:lang w:val="sr-Cyrl-RS"/>
        </w:rPr>
        <w:t>godina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registrovanoj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25,8%. </w:t>
      </w:r>
    </w:p>
    <w:p w:rsidR="007569C5" w:rsidRPr="00510FC8" w:rsidRDefault="007569C5" w:rsidP="007569C5">
      <w:pPr>
        <w:spacing w:before="100" w:beforeAutospacing="1" w:after="100" w:afterAutospacing="1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Cs/>
          <w:sz w:val="20"/>
          <w:szCs w:val="20"/>
          <w:lang w:val="sr-Cyrl-RS"/>
        </w:rPr>
        <w:t>Takođe</w:t>
      </w:r>
      <w:r w:rsidRPr="00D477A5">
        <w:rPr>
          <w:rFonts w:ascii="Arial" w:hAnsi="Arial" w:cs="Arial"/>
          <w:bCs/>
          <w:sz w:val="20"/>
          <w:szCs w:val="20"/>
          <w:lang w:val="sr-Cyrl-RS"/>
        </w:rPr>
        <w:t>,</w:t>
      </w:r>
      <w:r>
        <w:rPr>
          <w:rFonts w:ascii="Arial" w:hAnsi="Arial" w:cs="Arial"/>
          <w:b/>
          <w:bCs/>
          <w:sz w:val="20"/>
          <w:szCs w:val="20"/>
          <w:lang w:val="sr-Cyrl-RS"/>
        </w:rPr>
        <w:t xml:space="preserve"> s</w:t>
      </w:r>
      <w:r>
        <w:rPr>
          <w:rFonts w:ascii="Arial" w:hAnsi="Arial" w:cs="Arial"/>
          <w:sz w:val="20"/>
          <w:szCs w:val="20"/>
          <w:lang w:val="sr-Cyrl-RS"/>
        </w:rPr>
        <w:t>topa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rizika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28 </w:t>
      </w:r>
      <w:r>
        <w:rPr>
          <w:rFonts w:ascii="Arial" w:hAnsi="Arial" w:cs="Arial"/>
          <w:sz w:val="20"/>
          <w:szCs w:val="20"/>
          <w:lang w:val="sr-Cyrl-RS"/>
        </w:rPr>
        <w:t>zemalja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žena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nego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muškaraca</w:t>
      </w:r>
      <w:r w:rsidRPr="00510FC8">
        <w:rPr>
          <w:rFonts w:ascii="Arial" w:hAnsi="Arial" w:cs="Arial"/>
          <w:sz w:val="20"/>
          <w:szCs w:val="20"/>
          <w:lang w:val="sr-Cyrl-RS"/>
        </w:rPr>
        <w:t>.</w:t>
      </w:r>
    </w:p>
    <w:p w:rsidR="007569C5" w:rsidRPr="00885212" w:rsidRDefault="007569C5" w:rsidP="007569C5">
      <w:pPr>
        <w:pStyle w:val="NormalWeb"/>
        <w:spacing w:line="360" w:lineRule="auto"/>
        <w:jc w:val="both"/>
        <w:rPr>
          <w:rFonts w:ascii="Arial" w:hAnsi="Arial" w:cs="Arial"/>
          <w:color w:val="323232"/>
          <w:sz w:val="20"/>
          <w:szCs w:val="20"/>
          <w:lang w:val="sr-Cyrl-RS"/>
        </w:rPr>
      </w:pPr>
      <w:r>
        <w:rPr>
          <w:rFonts w:ascii="Arial" w:hAnsi="Arial" w:cs="Arial"/>
          <w:color w:val="343434"/>
          <w:sz w:val="20"/>
          <w:szCs w:val="20"/>
          <w:lang w:val="sr-Cyrl-RS"/>
        </w:rPr>
        <w:t>Imajući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vidu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kretanje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stope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siromaštva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Srbiji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komparaciji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sa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drugim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zemljama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regionu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i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43434"/>
          <w:sz w:val="20"/>
          <w:szCs w:val="20"/>
          <w:lang w:val="sr-Cyrl-RS"/>
        </w:rPr>
        <w:t>EU</w:t>
      </w:r>
      <w:r w:rsidRPr="00885212">
        <w:rPr>
          <w:rFonts w:ascii="Arial" w:hAnsi="Arial" w:cs="Arial"/>
          <w:color w:val="343434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oktobru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2014.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Vlada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Srbije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usvojila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Drugi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nacionalni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izveštaj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o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socijalnom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uključivanju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i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smanjenju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siromaštva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Republici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Srbiji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za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period</w:t>
      </w:r>
      <w:r w:rsidRPr="00885212">
        <w:rPr>
          <w:rFonts w:ascii="Arial" w:hAnsi="Arial" w:cs="Arial"/>
          <w:bCs/>
          <w:color w:val="323232"/>
          <w:sz w:val="20"/>
          <w:szCs w:val="20"/>
          <w:lang w:val="sr-Cyrl-RS"/>
        </w:rPr>
        <w:t xml:space="preserve"> 2011 – 2014.</w:t>
      </w:r>
      <w:r w:rsidRPr="00885212">
        <w:rPr>
          <w:rFonts w:ascii="Arial" w:hAnsi="Arial" w:cs="Arial"/>
          <w:b/>
          <w:bCs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color w:val="323232"/>
          <w:sz w:val="20"/>
          <w:szCs w:val="20"/>
          <w:lang w:val="sr-Cyrl-RS"/>
        </w:rPr>
        <w:t>godine</w:t>
      </w:r>
      <w:r w:rsidRPr="00885212">
        <w:rPr>
          <w:rStyle w:val="FootnoteReference"/>
          <w:rFonts w:cs="Arial"/>
          <w:color w:val="323232"/>
          <w:sz w:val="20"/>
          <w:szCs w:val="20"/>
          <w:lang w:val="sr-Cyrl-RS"/>
        </w:rPr>
        <w:footnoteReference w:id="11"/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Izveštaj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obuhvata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pregled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zakonskog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strateškog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institucionalnog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okvira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relevantnih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za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procese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socijalnog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uključivanja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smanjenja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analizu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trenutnog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stanja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relevantnim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oblastima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pregled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realizovanih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mera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zaključke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izazove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osnovne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pravce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razvoja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za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naredni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period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Tim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za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socijalno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uključivanje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smanjenje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Vlade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Srbije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aktivno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učestvuje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promovisanju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preduzetničke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kulture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razvijanju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različitih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modela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uključivanja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osetljivih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grupa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ekonomske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aktivnosti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promociji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razvijanju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koncepta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socijalnog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preduzetništva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aktivnom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uključivanju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tržište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rada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Nacionalni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akcioni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plana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zapošljavanja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2016.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definiše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mere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ovoj</w:t>
      </w:r>
      <w:r w:rsidRPr="0088521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885212">
        <w:rPr>
          <w:rFonts w:ascii="Arial" w:hAnsi="Arial" w:cs="Arial"/>
          <w:sz w:val="20"/>
          <w:szCs w:val="20"/>
          <w:lang w:val="sr-Cyrl-RS"/>
        </w:rPr>
        <w:t>.</w:t>
      </w:r>
    </w:p>
    <w:p w:rsidR="007569C5" w:rsidRPr="00510FC8" w:rsidRDefault="007569C5" w:rsidP="007569C5">
      <w:pPr>
        <w:pStyle w:val="Heading1"/>
        <w:numPr>
          <w:ilvl w:val="0"/>
          <w:numId w:val="0"/>
        </w:numPr>
        <w:ind w:left="431" w:hanging="431"/>
      </w:pPr>
      <w:bookmarkStart w:id="3" w:name="_Toc436217184"/>
      <w:r>
        <w:t>Rizik</w:t>
      </w:r>
      <w:r w:rsidRPr="00510FC8">
        <w:t xml:space="preserve"> </w:t>
      </w:r>
      <w:r>
        <w:t>od</w:t>
      </w:r>
      <w:r w:rsidRPr="00510FC8">
        <w:t xml:space="preserve"> </w:t>
      </w:r>
      <w:r>
        <w:t>siromaštva</w:t>
      </w:r>
      <w:r w:rsidRPr="00510FC8">
        <w:t xml:space="preserve"> </w:t>
      </w:r>
      <w:r>
        <w:t>u</w:t>
      </w:r>
      <w:r w:rsidRPr="00510FC8">
        <w:t xml:space="preserve"> </w:t>
      </w:r>
      <w:r>
        <w:t>evropskim</w:t>
      </w:r>
      <w:r w:rsidRPr="00510FC8">
        <w:t xml:space="preserve"> </w:t>
      </w:r>
      <w:r>
        <w:t>zemljama</w:t>
      </w:r>
      <w:bookmarkEnd w:id="3"/>
    </w:p>
    <w:p w:rsidR="007569C5" w:rsidRPr="00510FC8" w:rsidRDefault="007569C5" w:rsidP="007569C5">
      <w:pPr>
        <w:pStyle w:val="NormalWeb"/>
        <w:spacing w:line="360" w:lineRule="auto"/>
        <w:jc w:val="both"/>
        <w:rPr>
          <w:rFonts w:ascii="Arial" w:hAnsi="Arial" w:cs="Arial"/>
          <w:color w:val="323232"/>
          <w:sz w:val="20"/>
          <w:szCs w:val="20"/>
          <w:lang w:val="sr-Cyrl-RS"/>
        </w:rPr>
      </w:pPr>
      <w:r>
        <w:rPr>
          <w:rFonts w:ascii="Arial" w:hAnsi="Arial" w:cs="Arial"/>
          <w:color w:val="323232"/>
          <w:sz w:val="20"/>
          <w:szCs w:val="20"/>
          <w:lang w:val="sr-Cyrl-RS"/>
        </w:rPr>
        <w:t>Najmanji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postotak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ljudi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riziku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ili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socijalne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 xml:space="preserve">isključenosti prošle godine 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imale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Češka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(14,8%),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Holandija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(15,9%),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Švedska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(16,4%)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, Finska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(17,3%)</w:t>
      </w:r>
      <w:r>
        <w:rPr>
          <w:rFonts w:ascii="Arial" w:hAnsi="Arial" w:cs="Arial"/>
          <w:color w:val="323232"/>
          <w:sz w:val="20"/>
          <w:szCs w:val="20"/>
          <w:lang w:val="sr-Cyrl-RS"/>
        </w:rPr>
        <w:t xml:space="preserve"> i Danska (17,8%)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>.</w:t>
      </w:r>
    </w:p>
    <w:p w:rsidR="007569C5" w:rsidRPr="00510FC8" w:rsidRDefault="007569C5" w:rsidP="007569C5">
      <w:pPr>
        <w:pStyle w:val="NormalWeb"/>
        <w:spacing w:line="360" w:lineRule="auto"/>
        <w:jc w:val="both"/>
        <w:rPr>
          <w:rFonts w:ascii="Arial" w:hAnsi="Arial" w:cs="Arial"/>
          <w:color w:val="323232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Ako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analizira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prethodni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petogodišnji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do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2013.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broj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ljudi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riziku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ili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socijalne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isključenosti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povećao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većini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država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članica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</w:rPr>
        <w:t>E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 za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koje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postoje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podaci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>.</w:t>
      </w:r>
    </w:p>
    <w:p w:rsidR="007569C5" w:rsidRPr="00510FC8" w:rsidRDefault="007569C5" w:rsidP="007569C5">
      <w:pPr>
        <w:pStyle w:val="NormalWeb"/>
        <w:spacing w:line="360" w:lineRule="auto"/>
        <w:jc w:val="both"/>
        <w:rPr>
          <w:rFonts w:ascii="Arial" w:hAnsi="Arial" w:cs="Arial"/>
          <w:color w:val="323232"/>
          <w:sz w:val="20"/>
          <w:szCs w:val="20"/>
          <w:lang w:val="sr-Cyrl-RS"/>
        </w:rPr>
      </w:pPr>
      <w:r>
        <w:rPr>
          <w:rFonts w:ascii="Arial" w:hAnsi="Arial" w:cs="Arial"/>
          <w:color w:val="323232"/>
          <w:sz w:val="20"/>
          <w:szCs w:val="20"/>
          <w:lang w:val="sr-Cyrl-RS"/>
        </w:rPr>
        <w:t>Smanjenje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 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zabeleženo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jedino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Poljskoj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30,5% 2008.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25,8% 2013.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),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Rumuniji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44,2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40,4 %), 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Bugarskoj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9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procenata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odnosu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prošlu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Slovačkoj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20,6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19,8%),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Češkoj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15,3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14,6%)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dok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Belgiji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Austriji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Finskoj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ostalo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istom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nivou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>.</w:t>
      </w:r>
    </w:p>
    <w:p w:rsidR="007569C5" w:rsidRPr="00510FC8" w:rsidRDefault="007569C5" w:rsidP="007569C5">
      <w:pPr>
        <w:pStyle w:val="NormalWeb"/>
        <w:spacing w:line="360" w:lineRule="auto"/>
        <w:jc w:val="both"/>
        <w:rPr>
          <w:rFonts w:ascii="Arial" w:hAnsi="Arial" w:cs="Arial"/>
          <w:color w:val="323232"/>
          <w:sz w:val="20"/>
          <w:szCs w:val="20"/>
          <w:lang w:val="sr-Cyrl-RS"/>
        </w:rPr>
      </w:pPr>
      <w:r>
        <w:rPr>
          <w:rFonts w:ascii="Arial" w:hAnsi="Arial" w:cs="Arial"/>
          <w:color w:val="323232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rizika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Hrvatskoj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2013.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podacima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Državnog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zavoda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statistiku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iznosila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 19,5%,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dok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prema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podacima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Eurostata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bila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29,9%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nešto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smanjena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prošle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niža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2011.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kada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rizika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iznosila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32,6%.</w:t>
      </w:r>
    </w:p>
    <w:p w:rsidR="007569C5" w:rsidRPr="00510FC8" w:rsidRDefault="007569C5" w:rsidP="007569C5">
      <w:pPr>
        <w:pStyle w:val="NormalWeb"/>
        <w:spacing w:line="360" w:lineRule="atLeast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Već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kretanje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pokazatelj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privrednih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ekonomskih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performansi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kreiranju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poslovne politike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mogućnosti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 obezbede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mesta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zapošljavanje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Zato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narednoj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tabeli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prikazuje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kretanje stope zaposlenosti u poslednje četiri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prosek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nivou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28 </w:t>
      </w:r>
      <w:r>
        <w:rPr>
          <w:rFonts w:ascii="Arial" w:hAnsi="Arial" w:cs="Arial"/>
          <w:sz w:val="20"/>
          <w:szCs w:val="20"/>
          <w:lang w:val="sr-Cyrl-RS"/>
        </w:rPr>
        <w:t>zemalja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7569C5" w:rsidRDefault="007569C5" w:rsidP="007569C5">
      <w:pPr>
        <w:pStyle w:val="Normal1"/>
        <w:rPr>
          <w:rFonts w:ascii="Arial" w:hAnsi="Arial" w:cs="Arial"/>
          <w:b/>
          <w:sz w:val="20"/>
          <w:szCs w:val="20"/>
          <w:lang w:val="sr-Cyrl-RS"/>
        </w:rPr>
      </w:pPr>
    </w:p>
    <w:p w:rsidR="007569C5" w:rsidRPr="00510FC8" w:rsidRDefault="007569C5" w:rsidP="007569C5">
      <w:pPr>
        <w:pStyle w:val="Normal1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Tabela 2</w:t>
      </w:r>
      <w:r w:rsidRPr="00CB3649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zemljama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(%)</w:t>
      </w:r>
    </w:p>
    <w:p w:rsidR="007569C5" w:rsidRPr="00510FC8" w:rsidRDefault="007569C5" w:rsidP="007569C5">
      <w:pPr>
        <w:pStyle w:val="Normal1"/>
        <w:rPr>
          <w:rFonts w:ascii="Arial" w:hAnsi="Arial" w:cs="Arial"/>
          <w:sz w:val="20"/>
          <w:szCs w:val="20"/>
          <w:lang w:val="sr-Cyrl-RS"/>
        </w:rPr>
      </w:pPr>
      <w:r w:rsidRPr="00510FC8">
        <w:rPr>
          <w:rFonts w:ascii="Arial" w:hAnsi="Arial" w:cs="Arial"/>
          <w:sz w:val="20"/>
          <w:szCs w:val="20"/>
          <w:lang w:val="sr-Cyrl-RS"/>
        </w:rPr>
        <w:t>(</w:t>
      </w:r>
      <w:r>
        <w:rPr>
          <w:rFonts w:ascii="Arial" w:hAnsi="Arial" w:cs="Arial"/>
          <w:sz w:val="20"/>
          <w:szCs w:val="20"/>
          <w:lang w:val="sr-Cyrl-RS"/>
        </w:rPr>
        <w:t>period 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2011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2014.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sz w:val="20"/>
          <w:szCs w:val="20"/>
          <w:lang w:val="sr-Cyrl-R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Zemlja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godina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2011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2012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2013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2014</w:t>
            </w:r>
          </w:p>
          <w:p w:rsidR="007569C5" w:rsidRPr="00510FC8" w:rsidRDefault="007569C5" w:rsidP="00D5172E">
            <w:pPr>
              <w:pStyle w:val="Normal1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EU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28,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prosek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68,6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68,4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68,4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69,2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Austrija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74,2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74,4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74,6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74,2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Belgija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67,6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67,3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67,2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67,3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Bugarska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62,9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63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63,5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65,1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VB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73,5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74,1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74,8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76,2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Grčka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59,6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55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52,9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53,3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Danska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75,8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75,7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75,6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75,9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Estonija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70,6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72,2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73,3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74,3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Nemačka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75,7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75,4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75,6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75,9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Finska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73,8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74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73,3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73,1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Hrvatska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59,8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58,1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57,2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59,2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Češka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71,5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72,5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73,5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75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Španija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62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59,6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58,6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59,9</w:t>
            </w:r>
          </w:p>
        </w:tc>
      </w:tr>
    </w:tbl>
    <w:p w:rsidR="007569C5" w:rsidRPr="00510FC8" w:rsidRDefault="007569C5" w:rsidP="007569C5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Izvor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: </w:t>
      </w:r>
      <w:hyperlink r:id="rId9" w:history="1">
        <w:r w:rsidRPr="00510FC8">
          <w:rPr>
            <w:rStyle w:val="Hyperlink"/>
            <w:rFonts w:ascii="Arial" w:hAnsi="Arial"/>
            <w:sz w:val="20"/>
            <w:szCs w:val="20"/>
            <w:lang w:val="sr-Cyrl-RS"/>
          </w:rPr>
          <w:t>Europe 2020 Indicators</w:t>
        </w:r>
      </w:hyperlink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podaci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16.11.2015.</w:t>
      </w:r>
    </w:p>
    <w:p w:rsidR="007569C5" w:rsidRPr="00510FC8" w:rsidRDefault="007569C5" w:rsidP="007569C5">
      <w:pPr>
        <w:pStyle w:val="Normal1"/>
        <w:rPr>
          <w:rFonts w:ascii="Arial" w:hAnsi="Arial" w:cs="Arial"/>
          <w:sz w:val="20"/>
          <w:szCs w:val="20"/>
          <w:lang w:val="sr-Cyrl-RS"/>
        </w:rPr>
      </w:pPr>
      <w:hyperlink r:id="rId10" w:history="1">
        <w:r w:rsidRPr="00510FC8">
          <w:rPr>
            <w:rStyle w:val="Hyperlink"/>
            <w:rFonts w:ascii="Arial" w:hAnsi="Arial"/>
            <w:sz w:val="20"/>
            <w:szCs w:val="20"/>
            <w:lang w:val="sr-Cyrl-RS"/>
          </w:rPr>
          <w:t>http://ec.europa.eu/eurostat/web/europe-2020-indicators/europe-2020-strategy/headline-indicators-scoreboard</w:t>
        </w:r>
      </w:hyperlink>
    </w:p>
    <w:p w:rsidR="007569C5" w:rsidRDefault="007569C5" w:rsidP="007569C5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narednoj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tabeli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podaci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riziku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zemljama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periodu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2011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2014.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procenat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siromašnih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stanovnika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određene zemlje. Navedeni podaci mogu da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analiziraju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nivou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28 </w:t>
      </w:r>
      <w:r>
        <w:rPr>
          <w:rFonts w:ascii="Arial" w:hAnsi="Arial" w:cs="Arial"/>
          <w:sz w:val="20"/>
          <w:szCs w:val="20"/>
          <w:lang w:val="sr-Cyrl-RS"/>
        </w:rPr>
        <w:t>zemanja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 i za svaku zemlju pojedinačno.</w:t>
      </w:r>
    </w:p>
    <w:p w:rsidR="007569C5" w:rsidRDefault="007569C5" w:rsidP="007569C5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7569C5" w:rsidRDefault="007569C5" w:rsidP="007569C5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FC4218" w:rsidRDefault="00FC4218" w:rsidP="007569C5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FC4218" w:rsidRPr="00FC4218" w:rsidRDefault="00FC4218" w:rsidP="007569C5">
      <w:pPr>
        <w:pStyle w:val="Normal1"/>
        <w:spacing w:line="360" w:lineRule="auto"/>
        <w:jc w:val="both"/>
        <w:rPr>
          <w:rFonts w:ascii="Arial" w:hAnsi="Arial" w:cs="Arial"/>
          <w:sz w:val="20"/>
          <w:szCs w:val="20"/>
          <w:lang w:val="sr-Latn-RS"/>
        </w:rPr>
      </w:pPr>
    </w:p>
    <w:p w:rsidR="007569C5" w:rsidRPr="00510FC8" w:rsidRDefault="007569C5" w:rsidP="007569C5">
      <w:pPr>
        <w:pStyle w:val="Normal1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lastRenderedPageBreak/>
        <w:t>Tabela</w:t>
      </w:r>
      <w:r w:rsidRPr="00CB3649">
        <w:rPr>
          <w:rFonts w:ascii="Arial" w:hAnsi="Arial" w:cs="Arial"/>
          <w:b/>
          <w:sz w:val="20"/>
          <w:szCs w:val="20"/>
          <w:lang w:val="sr-Cyrl-RS"/>
        </w:rPr>
        <w:t xml:space="preserve"> 3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510FC8">
        <w:rPr>
          <w:rFonts w:ascii="Arial" w:hAnsi="Arial" w:cs="Arial"/>
          <w:sz w:val="20"/>
          <w:szCs w:val="20"/>
          <w:lang w:val="sr-Cyrl-RS"/>
        </w:rPr>
        <w:t>:</w:t>
      </w:r>
      <w:r>
        <w:rPr>
          <w:rFonts w:ascii="Arial" w:hAnsi="Arial" w:cs="Arial"/>
          <w:sz w:val="20"/>
          <w:szCs w:val="20"/>
          <w:lang w:val="sr-Cyrl-RS"/>
        </w:rPr>
        <w:t xml:space="preserve"> Indikatori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rizika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zemljama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2011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2014. </w:t>
      </w:r>
      <w:r>
        <w:rPr>
          <w:rFonts w:ascii="Arial" w:hAnsi="Arial" w:cs="Arial"/>
          <w:sz w:val="20"/>
          <w:szCs w:val="20"/>
          <w:lang w:val="sr-Cyrl-RS"/>
        </w:rPr>
        <w:t>godine</w:t>
      </w:r>
    </w:p>
    <w:p w:rsidR="007569C5" w:rsidRPr="00510FC8" w:rsidRDefault="007569C5" w:rsidP="007569C5">
      <w:pPr>
        <w:pStyle w:val="Normal1"/>
        <w:rPr>
          <w:rFonts w:ascii="Arial" w:hAnsi="Arial" w:cs="Arial"/>
          <w:sz w:val="20"/>
          <w:szCs w:val="20"/>
          <w:lang w:val="sr-Cyrl-RS"/>
        </w:rPr>
      </w:pPr>
      <w:r w:rsidRPr="00510FC8">
        <w:rPr>
          <w:rFonts w:ascii="Arial" w:hAnsi="Arial" w:cs="Arial"/>
          <w:sz w:val="20"/>
          <w:szCs w:val="20"/>
          <w:lang w:val="sr-Cyrl-RS"/>
        </w:rPr>
        <w:t>(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hiljadama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procenat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ukupnog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stanovništva</w:t>
      </w:r>
      <w:r w:rsidRPr="00510FC8">
        <w:rPr>
          <w:rFonts w:ascii="Arial" w:hAnsi="Arial" w:cs="Arial"/>
          <w:sz w:val="20"/>
          <w:szCs w:val="20"/>
          <w:lang w:val="sr-Cyrl-RS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8"/>
        <w:gridCol w:w="1848"/>
        <w:gridCol w:w="1849"/>
        <w:gridCol w:w="1849"/>
        <w:gridCol w:w="1849"/>
      </w:tblGrid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Zemlja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/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godina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2011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2012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2013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2014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EU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28,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prosek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, 000/%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121 314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24,3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124 060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24,7 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122 897 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24,5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121 952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24,7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Austrija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1 593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19,2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1542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18,5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1572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18,8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1609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19,2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Belgija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2 271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2  356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21,6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2 286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20,8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2 339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21,2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Bugarska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3 693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49,1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3 621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49,3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3 493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48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2909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40,1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VB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14 044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22,7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15 099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24,1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15 586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24,8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15 188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24,1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Grčka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3 403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31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3 795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34,6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3 904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35,7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3 885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36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Danska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1 039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18,9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1 057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1 059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18,9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1 001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17,8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Estonija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307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23,1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311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23,4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313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23,5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Nemačka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16 074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19,9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15 909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19,6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16 212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20,3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16 508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20,6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Finska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949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17,9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916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17,2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854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927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17,3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Hrvatska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1 384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32,6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1 384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32,6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1 271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29,9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1 244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29,3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Češka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1 598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15,3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1 580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15,4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1 508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14,6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1 532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14,8</w:t>
            </w:r>
          </w:p>
        </w:tc>
      </w:tr>
      <w:tr w:rsidR="007569C5" w:rsidRPr="00510FC8" w:rsidTr="00D5172E"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Španija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</w:p>
        </w:tc>
        <w:tc>
          <w:tcPr>
            <w:tcW w:w="1848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12 363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26,7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12 628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27,2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12 630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27,3</w:t>
            </w:r>
          </w:p>
        </w:tc>
        <w:tc>
          <w:tcPr>
            <w:tcW w:w="1849" w:type="dxa"/>
          </w:tcPr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13 402</w:t>
            </w:r>
          </w:p>
          <w:p w:rsidR="007569C5" w:rsidRPr="00510FC8" w:rsidRDefault="007569C5" w:rsidP="00D5172E">
            <w:pPr>
              <w:pStyle w:val="Normal1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29,2</w:t>
            </w:r>
          </w:p>
        </w:tc>
      </w:tr>
    </w:tbl>
    <w:p w:rsidR="007569C5" w:rsidRPr="00510FC8" w:rsidRDefault="007569C5" w:rsidP="007569C5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Izvor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: </w:t>
      </w:r>
      <w:hyperlink r:id="rId11" w:history="1">
        <w:r w:rsidRPr="00510FC8">
          <w:rPr>
            <w:rStyle w:val="Hyperlink"/>
            <w:rFonts w:ascii="Arial" w:hAnsi="Arial"/>
            <w:sz w:val="20"/>
            <w:szCs w:val="20"/>
            <w:lang w:val="sr-Cyrl-RS"/>
          </w:rPr>
          <w:t>Europe 2020 Indicators</w:t>
        </w:r>
      </w:hyperlink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podaci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16.11.2015.</w:t>
      </w:r>
    </w:p>
    <w:p w:rsidR="007569C5" w:rsidRPr="00510FC8" w:rsidRDefault="007569C5" w:rsidP="007569C5">
      <w:pPr>
        <w:spacing w:line="240" w:lineRule="auto"/>
        <w:rPr>
          <w:rFonts w:ascii="Arial" w:hAnsi="Arial" w:cs="Arial"/>
          <w:sz w:val="20"/>
          <w:szCs w:val="20"/>
          <w:lang w:val="sr-Cyrl-RS"/>
        </w:rPr>
      </w:pPr>
      <w:hyperlink r:id="rId12" w:history="1">
        <w:r w:rsidRPr="00510FC8">
          <w:rPr>
            <w:rStyle w:val="Hyperlink"/>
            <w:rFonts w:ascii="Arial" w:hAnsi="Arial"/>
            <w:sz w:val="20"/>
            <w:szCs w:val="20"/>
            <w:lang w:val="sr-Cyrl-RS"/>
          </w:rPr>
          <w:t>http://ec.europa.eu/eurostat/web/europe-2020-indicators/europe-2020-strategy/headline-indicators-scoreboard</w:t>
        </w:r>
      </w:hyperlink>
    </w:p>
    <w:p w:rsidR="007569C5" w:rsidRPr="00885212" w:rsidRDefault="007569C5" w:rsidP="007569C5">
      <w:pPr>
        <w:pStyle w:val="NormalWeb"/>
        <w:spacing w:line="360" w:lineRule="auto"/>
        <w:jc w:val="both"/>
        <w:rPr>
          <w:rFonts w:ascii="Arial" w:hAnsi="Arial" w:cs="Arial"/>
          <w:color w:val="323232"/>
          <w:sz w:val="20"/>
          <w:szCs w:val="20"/>
          <w:lang w:val="sr-Cyrl-RS"/>
        </w:rPr>
      </w:pPr>
      <w:r>
        <w:rPr>
          <w:rFonts w:ascii="Arial" w:hAnsi="Arial" w:cs="Arial"/>
          <w:color w:val="323232"/>
          <w:sz w:val="20"/>
          <w:szCs w:val="20"/>
          <w:lang w:val="sr-Cyrl-RS"/>
        </w:rPr>
        <w:t>Najnižu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osnovnu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stopu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rizika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EU imala je Češka - 8,6%, a visoke stope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Bugarska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(21%),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Grčka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(23,1%),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Litvanija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(20,6 %),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Rumunija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(22,4%)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Španija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(20,4%)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prema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podacima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Eurostata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lastRenderedPageBreak/>
        <w:t>Takođe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svake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povećava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broj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lica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građana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riziku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ili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socijalne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isključenosti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bi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prošle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bilo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oko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122 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miliona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ljudi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Skoro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četvrtina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stanovništva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prošle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bilo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izloženo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riziku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ili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socijalne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isključenosti a posebno u nekim zemljama kao što su Bugarska (40%) i Grčka</w:t>
      </w:r>
      <w:r w:rsidRPr="00510FC8">
        <w:rPr>
          <w:rFonts w:ascii="Arial" w:hAnsi="Arial" w:cs="Arial"/>
          <w:color w:val="323232"/>
          <w:sz w:val="20"/>
          <w:szCs w:val="20"/>
          <w:lang w:val="sr-Cyrl-RS"/>
        </w:rPr>
        <w:t xml:space="preserve"> (36%).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Kad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je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reč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osobama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koje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žive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velikoj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materijalnoj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oskudici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nivou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EU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28,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navedenim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uslovima</w:t>
      </w:r>
      <w:r w:rsidRPr="00885212">
        <w:rPr>
          <w:rFonts w:ascii="Arial" w:hAnsi="Arial" w:cs="Arial"/>
          <w:color w:val="323232"/>
          <w:sz w:val="20"/>
          <w:szCs w:val="20"/>
          <w:lang w:val="sr-Cyrl-RS"/>
        </w:rPr>
        <w:t xml:space="preserve"> 2013. </w:t>
      </w:r>
      <w:r>
        <w:rPr>
          <w:rFonts w:ascii="Arial" w:hAnsi="Arial" w:cs="Arial"/>
          <w:color w:val="323232"/>
          <w:sz w:val="20"/>
          <w:szCs w:val="20"/>
          <w:lang w:val="sr-Cyrl-RS"/>
        </w:rPr>
        <w:t>godine živelo je 9,6% Evropljana.</w:t>
      </w:r>
    </w:p>
    <w:p w:rsidR="007569C5" w:rsidRPr="00510FC8" w:rsidRDefault="007569C5" w:rsidP="007569C5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color w:val="000000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tabeli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sledi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prikazani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su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podaci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iz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istraživanja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koje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sr-Cyrl-RS"/>
        </w:rPr>
        <w:t>uradilo</w:t>
      </w:r>
      <w:r w:rsidRPr="00510FC8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socijalnu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politiku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potrošača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Austrije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junu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2015. </w:t>
      </w:r>
      <w:r>
        <w:rPr>
          <w:rFonts w:ascii="Arial" w:hAnsi="Arial" w:cs="Arial"/>
          <w:sz w:val="20"/>
          <w:szCs w:val="20"/>
          <w:lang w:val="sr-Cyrl-RS"/>
        </w:rPr>
        <w:t>godine, a odnosi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projekcije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plan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smanjenja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Strategijom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2020.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smislu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nivou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planira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smanjenje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žive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riziku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30 </w:t>
      </w:r>
      <w:r>
        <w:rPr>
          <w:rFonts w:ascii="Arial" w:hAnsi="Arial" w:cs="Arial"/>
          <w:sz w:val="20"/>
          <w:szCs w:val="20"/>
          <w:lang w:val="sr-Cyrl-RS"/>
        </w:rPr>
        <w:t>miliona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istraživanja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podataka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Nacionalnog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reformi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april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2014.), </w:t>
      </w:r>
      <w:r>
        <w:rPr>
          <w:rFonts w:ascii="Arial" w:hAnsi="Arial" w:cs="Arial"/>
          <w:sz w:val="20"/>
          <w:szCs w:val="20"/>
          <w:lang w:val="sr-Cyrl-RS"/>
        </w:rPr>
        <w:t>planirana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Austriji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2020.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77,8%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znatno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smanjenje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žive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riziku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>.</w:t>
      </w:r>
    </w:p>
    <w:p w:rsidR="007569C5" w:rsidRPr="00510FC8" w:rsidRDefault="007569C5" w:rsidP="007569C5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Tabela</w:t>
      </w:r>
      <w:r w:rsidRPr="00CB3649">
        <w:rPr>
          <w:rFonts w:ascii="Arial" w:hAnsi="Arial" w:cs="Arial"/>
          <w:b/>
          <w:sz w:val="20"/>
          <w:szCs w:val="20"/>
          <w:lang w:val="sr-Cyrl-RS"/>
        </w:rPr>
        <w:t xml:space="preserve"> 4</w:t>
      </w:r>
      <w:r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Projekcije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smanjenja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2020.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"/>
        <w:gridCol w:w="1737"/>
        <w:gridCol w:w="1370"/>
      </w:tblGrid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Zemlja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Stopa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zaposlenosti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(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%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Smanjenje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siromaštva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(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broj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lica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EU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30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mil</w:t>
            </w:r>
          </w:p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Austrija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77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235 000</w:t>
            </w: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Belgija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73,2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380 000</w:t>
            </w: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Bugarska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76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260 000</w:t>
            </w: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Grčka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70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450 000</w:t>
            </w: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Danska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22 000</w:t>
            </w: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Estonija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76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36 248</w:t>
            </w: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Nemačka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80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320 000</w:t>
            </w:r>
            <w:r w:rsidRPr="00510FC8">
              <w:rPr>
                <w:rStyle w:val="FootnoteReference"/>
                <w:rFonts w:cs="Arial"/>
                <w:sz w:val="20"/>
                <w:szCs w:val="20"/>
                <w:lang w:val="sr-Cyrl-RS"/>
              </w:rPr>
              <w:footnoteReference w:id="12"/>
            </w: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Finska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78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770 000</w:t>
            </w:r>
            <w:r w:rsidRPr="00510FC8">
              <w:rPr>
                <w:rStyle w:val="FootnoteReference"/>
                <w:rFonts w:cs="Arial"/>
                <w:sz w:val="20"/>
                <w:szCs w:val="20"/>
                <w:lang w:val="sr-Cyrl-RS"/>
              </w:rPr>
              <w:footnoteReference w:id="13"/>
            </w: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Češka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75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30 000</w:t>
            </w:r>
            <w:r w:rsidRPr="00510FC8">
              <w:rPr>
                <w:rStyle w:val="FootnoteReference"/>
                <w:rFonts w:cs="Arial"/>
                <w:sz w:val="20"/>
                <w:szCs w:val="20"/>
                <w:lang w:val="sr-Cyrl-RS"/>
              </w:rPr>
              <w:footnoteReference w:id="14"/>
            </w: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Španija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74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 xml:space="preserve">1,4-1,4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mil</w:t>
            </w: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.</w:t>
            </w:r>
          </w:p>
        </w:tc>
      </w:tr>
      <w:tr w:rsidR="007569C5" w:rsidRPr="00510FC8" w:rsidTr="00D5172E">
        <w:tc>
          <w:tcPr>
            <w:tcW w:w="1032" w:type="dxa"/>
          </w:tcPr>
          <w:p w:rsidR="007569C5" w:rsidRPr="00510FC8" w:rsidRDefault="007569C5" w:rsidP="00D5172E">
            <w:pPr>
              <w:spacing w:line="360" w:lineRule="auto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Hrvatska</w:t>
            </w:r>
          </w:p>
        </w:tc>
        <w:tc>
          <w:tcPr>
            <w:tcW w:w="1737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62,9</w:t>
            </w:r>
          </w:p>
        </w:tc>
        <w:tc>
          <w:tcPr>
            <w:tcW w:w="1370" w:type="dxa"/>
          </w:tcPr>
          <w:p w:rsidR="007569C5" w:rsidRPr="00510FC8" w:rsidRDefault="007569C5" w:rsidP="00D5172E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10FC8">
              <w:rPr>
                <w:rFonts w:ascii="Arial" w:hAnsi="Arial" w:cs="Arial"/>
                <w:sz w:val="20"/>
                <w:szCs w:val="20"/>
                <w:lang w:val="sr-Cyrl-RS"/>
              </w:rPr>
              <w:t>-</w:t>
            </w:r>
          </w:p>
        </w:tc>
      </w:tr>
    </w:tbl>
    <w:p w:rsidR="007569C5" w:rsidRPr="00510FC8" w:rsidRDefault="007569C5" w:rsidP="007569C5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Izvor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Savezno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socijalnu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politiku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potrošača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Austrije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jun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2015.; </w:t>
      </w:r>
      <w:r>
        <w:rPr>
          <w:rFonts w:ascii="Arial" w:hAnsi="Arial" w:cs="Arial"/>
          <w:sz w:val="20"/>
          <w:szCs w:val="20"/>
          <w:lang w:val="sr-Cyrl-RS"/>
        </w:rPr>
        <w:t>Nacionalni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reformi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april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2014.</w:t>
      </w:r>
    </w:p>
    <w:p w:rsidR="007569C5" w:rsidRPr="00510FC8" w:rsidRDefault="007569C5" w:rsidP="007569C5">
      <w:pPr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Prema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: </w:t>
      </w:r>
      <w:hyperlink r:id="rId13" w:history="1">
        <w:r w:rsidRPr="00510FC8">
          <w:rPr>
            <w:rStyle w:val="Hyperlink"/>
            <w:rFonts w:ascii="Arial" w:hAnsi="Arial"/>
            <w:sz w:val="20"/>
            <w:szCs w:val="20"/>
            <w:lang w:val="sr-Cyrl-RS"/>
          </w:rPr>
          <w:t>Europe 2020 strategy</w:t>
        </w:r>
      </w:hyperlink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7569C5" w:rsidRPr="00171789" w:rsidRDefault="007569C5" w:rsidP="007569C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>Najnovije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informacije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dostavljamo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nastavku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istraživanja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prikupljene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putem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odgovora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A744F1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ECPID</w:t>
      </w:r>
      <w:r w:rsidRPr="00A744F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upitnik br. 2867. na temu ''Ciljevi tržišta rada''</w:t>
      </w:r>
      <w:r w:rsidRPr="00A744F1">
        <w:rPr>
          <w:rFonts w:ascii="Arial" w:hAnsi="Arial" w:cs="Arial"/>
          <w:color w:val="222222"/>
          <w:sz w:val="20"/>
          <w:szCs w:val="20"/>
          <w:lang w:val="sr-Cyrl-RS"/>
        </w:rPr>
        <w:t xml:space="preserve"> (</w:t>
      </w:r>
      <w:r w:rsidRPr="00A744F1">
        <w:rPr>
          <w:rFonts w:ascii="Arial" w:hAnsi="Arial" w:cs="Arial"/>
          <w:i/>
          <w:color w:val="222222"/>
          <w:sz w:val="20"/>
          <w:szCs w:val="20"/>
          <w:lang w:val="sr-Cyrl-RS"/>
        </w:rPr>
        <w:t>Labour market goals)</w:t>
      </w:r>
      <w:r w:rsidRPr="00A744F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postavljenog od strane švedskog parlamenta</w:t>
      </w:r>
      <w:r w:rsidRPr="00A744F1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Švedskoj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 prošle godine zabeležena zaposlenost od 80%, a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plan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2020.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ostane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na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istom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nivou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 odgovorima koji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slede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može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uočiti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svim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razmatranim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zemljama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problematika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tržišta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uslovima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posledica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ekonomske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krize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jedno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najvažnijih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pitanja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ekonomskog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razvoja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održivog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privrednog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rasta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odgovorima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prikazane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aktivnosti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nadležnih institucija kako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ostvarili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ciljevi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pogledu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projektovane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zaposlenosti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planiranog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smanjenja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broja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lica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žive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siromaštvu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ili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riziku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siromaštva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Navodi se primer Holandije: </w:t>
      </w:r>
      <w:r>
        <w:rPr>
          <w:rFonts w:ascii="Arial" w:eastAsia="Times New Roman" w:hAnsi="Arial" w:cs="Arial"/>
          <w:sz w:val="20"/>
          <w:szCs w:val="20"/>
          <w:lang w:val="sr-Cyrl-RS"/>
        </w:rPr>
        <w:t>plan da na kraju projektovanog perioda zaposlenost bude 80% (stopa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zaposlenosti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prošle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bila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76,1%</w:t>
      </w:r>
      <w:r>
        <w:rPr>
          <w:rFonts w:ascii="Arial" w:eastAsia="Times New Roman" w:hAnsi="Arial" w:cs="Arial"/>
          <w:sz w:val="20"/>
          <w:szCs w:val="20"/>
          <w:lang w:val="sr-Cyrl-RS"/>
        </w:rPr>
        <w:t>) a holandska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Vlada planira do 2026. godine novih 125.000 radnih mesta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rizične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grupe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stanovništva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sa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ciljem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podrške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inkluziji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ranjivih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grupa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stanovništva, od čega će 25.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000 </w:t>
      </w:r>
      <w:r>
        <w:rPr>
          <w:rFonts w:ascii="Arial" w:eastAsia="Times New Roman" w:hAnsi="Arial" w:cs="Arial"/>
          <w:sz w:val="20"/>
          <w:szCs w:val="20"/>
          <w:lang w:val="sr-Cyrl-RS"/>
        </w:rPr>
        <w:t>radnih</w:t>
      </w:r>
      <w:r w:rsidRPr="00A744F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mesta biti u vladinim institucijama.</w:t>
      </w:r>
    </w:p>
    <w:p w:rsidR="007569C5" w:rsidRPr="008960EF" w:rsidRDefault="007569C5" w:rsidP="007569C5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RS"/>
        </w:rPr>
      </w:pPr>
      <w:bookmarkStart w:id="4" w:name="_Toc436217185"/>
      <w:r>
        <w:rPr>
          <w:rStyle w:val="Heading2Char"/>
          <w:rFonts w:eastAsiaTheme="minorHAnsi"/>
        </w:rPr>
        <w:t>Danska</w:t>
      </w:r>
      <w:bookmarkEnd w:id="4"/>
      <w:r w:rsidRPr="00316B74">
        <w:rPr>
          <w:rStyle w:val="Heading2Char"/>
          <w:rFonts w:eastAsiaTheme="minorHAnsi"/>
        </w:rPr>
        <w:br/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platformi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danske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Vlade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oktobra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2011.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Style w:val="FootnoteReference"/>
          <w:rFonts w:cs="Arial"/>
          <w:color w:val="222222"/>
          <w:sz w:val="20"/>
          <w:szCs w:val="20"/>
          <w:lang w:val="sr-Cyrl-RS"/>
        </w:rPr>
        <w:footnoteReference w:id="15"/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definisani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konkretni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ciljevi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odnose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zapošljavanje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kako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sledi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:</w:t>
      </w:r>
    </w:p>
    <w:p w:rsidR="007569C5" w:rsidRPr="00510FC8" w:rsidRDefault="007569C5" w:rsidP="007569C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"Ponuda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snage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će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povećati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135.000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lica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2020.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kako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osigurala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osnova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rast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ekonomski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razvoj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nove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inicijative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</w:p>
    <w:p w:rsidR="007569C5" w:rsidRPr="00510FC8" w:rsidRDefault="007569C5" w:rsidP="007569C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Strukturalno za oko 55.000 lica do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2020. godine kako bi se omogućio ekonomski razvoj, pored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efekta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paketa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oporavka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iz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2010.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Sporazuma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kasnijem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odlasku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penziju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Cilj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Vlade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dakle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poveća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ponuda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radne snage od ukupno 135.000 lica, do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2020.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Osim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toga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zaposlenost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će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povećati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kada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ciklusi tržišta budu normalizovani.</w:t>
      </w:r>
    </w:p>
    <w:p w:rsidR="007569C5" w:rsidRPr="00510FC8" w:rsidRDefault="007569C5" w:rsidP="007569C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Cilj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postigne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dogovor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povećava ponuda radne snage za oko 20.000 lica do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2020.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će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značiti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manju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javnu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potrošnju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više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poreskih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prihoda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čime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omogućava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poboljšanje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javnih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finansija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neto smislu za oko 4 milijardi danskih kruna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godišnje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Ova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sredstva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biće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izdvojena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tržište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kao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inicijative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obrazovanje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obuke u najširem smislu. Cilj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navedene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serije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reformi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poveća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ponuda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snage od ukupno 28.000 lica do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2020.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poboljšanje stanje javnih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finansija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oko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7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milijardi danskih kruna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Ovo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ambiciozan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cilj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što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će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zahtevati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ciljane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reformske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napore.</w:t>
      </w:r>
    </w:p>
    <w:p w:rsidR="007569C5" w:rsidRPr="00510FC8" w:rsidRDefault="007569C5" w:rsidP="007569C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Dalje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Vlada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će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potpunosti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sprovesti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poresku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reformu kojom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značajno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smanjuje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porez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zarade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kako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povećala ponuda radne snage za oko 7.000 lica do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2020.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taj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način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ojačale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javne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finansije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3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milijarde danskih kruna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putem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povećanja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zaposlenosti.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"</w:t>
      </w:r>
    </w:p>
    <w:p w:rsidR="007569C5" w:rsidRDefault="007569C5" w:rsidP="007569C5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Danska Vlada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junu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2014.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sklopila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politički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sporazum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nekoliko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opozicionih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stranaka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oko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seta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reformi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politike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zapošljavanja</w:t>
      </w:r>
      <w:r w:rsidRPr="00510FC8">
        <w:rPr>
          <w:rStyle w:val="FootnoteReference"/>
          <w:rFonts w:cs="Arial"/>
          <w:color w:val="222222"/>
          <w:sz w:val="20"/>
          <w:szCs w:val="20"/>
          <w:lang w:val="sr-Cyrl-RS"/>
        </w:rPr>
        <w:footnoteReference w:id="16"/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ali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kako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junu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2015.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održali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parlamentarni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izbori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lastRenderedPageBreak/>
        <w:t>Danskoj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sledi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nova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politička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platforma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Danski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opozicioni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blok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čelu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Larsom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Lokeom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Rasmusenom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pobedio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koaliciju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levog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centra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premijerke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Helle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Torning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>-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Šmit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parlamentarnim</w:t>
      </w:r>
      <w:r w:rsidRPr="00510FC8">
        <w:rPr>
          <w:rFonts w:ascii="Arial" w:hAnsi="Arial" w:cs="Arial"/>
          <w:color w:val="313131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sr-Cyrl-RS"/>
        </w:rPr>
        <w:t>izborima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7569C5" w:rsidRPr="007153C8" w:rsidRDefault="007569C5" w:rsidP="007569C5">
      <w:pPr>
        <w:pStyle w:val="Heading2"/>
        <w:numPr>
          <w:ilvl w:val="0"/>
          <w:numId w:val="0"/>
        </w:numPr>
        <w:ind w:left="578" w:hanging="578"/>
      </w:pPr>
      <w:bookmarkStart w:id="5" w:name="_Toc436217186"/>
      <w:r>
        <w:t>Irska</w:t>
      </w:r>
      <w:bookmarkEnd w:id="5"/>
    </w:p>
    <w:p w:rsidR="007569C5" w:rsidRPr="00510FC8" w:rsidRDefault="007569C5" w:rsidP="007569C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Kada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aktuelna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Vlada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počela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radom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2011.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otvaranje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novih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radnih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mesta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bio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ključni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element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Programu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ekonomskog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oporavka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novembru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2011.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irska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Vlada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obavezala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godišnji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Akcioni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plan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 radna mesta fokusira na mere u cilju zaštite postojećih i pomoć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otvaranju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novih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radnih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mesta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Akcioni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plan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zapošljavanja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imao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5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strateških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elemenata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:</w:t>
      </w:r>
    </w:p>
    <w:p w:rsidR="007569C5" w:rsidRPr="00510FC8" w:rsidRDefault="007569C5" w:rsidP="007569C5">
      <w:pPr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-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podršku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100.000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novozaposlenih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2016.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2018.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punu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zaposlenost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2,1 </w:t>
      </w:r>
      <w:r>
        <w:rPr>
          <w:rFonts w:ascii="Arial" w:eastAsia="Times New Roman" w:hAnsi="Arial" w:cs="Arial"/>
          <w:sz w:val="20"/>
          <w:szCs w:val="20"/>
          <w:lang w:val="sr-Cyrl-RS"/>
        </w:rPr>
        <w:t>milion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ljudi.</w:t>
      </w:r>
    </w:p>
    <w:p w:rsidR="007569C5" w:rsidRPr="00510FC8" w:rsidRDefault="007569C5" w:rsidP="007569C5">
      <w:pPr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-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povratak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Irske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vrh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rang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liste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međunarodne konkurentnosti, u pet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najkonkurentnijih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zemalja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,</w:t>
      </w:r>
    </w:p>
    <w:p w:rsidR="007569C5" w:rsidRPr="00510FC8" w:rsidRDefault="007569C5" w:rsidP="007569C5">
      <w:pPr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-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oživljavanje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domaće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privrede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otvaranja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novih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radnih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mesta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lokalnom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nivou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,</w:t>
      </w:r>
    </w:p>
    <w:p w:rsidR="007569C5" w:rsidRPr="00510FC8" w:rsidRDefault="007569C5" w:rsidP="007569C5">
      <w:pPr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-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izgradnju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autohtone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politike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rasta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porast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izvoza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irskih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kompanija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,</w:t>
      </w:r>
    </w:p>
    <w:p w:rsidR="007569C5" w:rsidRPr="00510FC8" w:rsidRDefault="007569C5" w:rsidP="007569C5">
      <w:pPr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-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izgradnju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klastera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ključnim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sektorima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>,</w:t>
      </w:r>
    </w:p>
    <w:p w:rsidR="007569C5" w:rsidRPr="00753274" w:rsidRDefault="007569C5" w:rsidP="007569C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Najnoviji podaci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: </w:t>
      </w:r>
      <w:r>
        <w:rPr>
          <w:rFonts w:ascii="Arial" w:eastAsia="Times New Roman" w:hAnsi="Arial" w:cs="Arial"/>
          <w:sz w:val="20"/>
          <w:szCs w:val="20"/>
          <w:lang w:val="sr-Cyrl-RS"/>
        </w:rPr>
        <w:t>stopa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zaposlenosti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2014.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bila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67% </w:t>
      </w:r>
      <w:r>
        <w:rPr>
          <w:rFonts w:ascii="Arial" w:eastAsia="Times New Roman" w:hAnsi="Arial" w:cs="Arial"/>
          <w:sz w:val="20"/>
          <w:szCs w:val="20"/>
          <w:lang w:val="sr-Cyrl-RS"/>
        </w:rPr>
        <w:t>a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plan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da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do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2020. </w:t>
      </w:r>
      <w:r>
        <w:rPr>
          <w:rFonts w:ascii="Arial" w:eastAsia="Times New Roman" w:hAnsi="Arial" w:cs="Arial"/>
          <w:sz w:val="20"/>
          <w:szCs w:val="20"/>
          <w:lang w:val="sr-Cyrl-RS"/>
        </w:rPr>
        <w:t>bude</w:t>
      </w:r>
      <w:r w:rsidRPr="00753274">
        <w:rPr>
          <w:rFonts w:ascii="Arial" w:eastAsia="Times New Roman" w:hAnsi="Arial" w:cs="Arial"/>
          <w:sz w:val="20"/>
          <w:szCs w:val="20"/>
          <w:lang w:val="sr-Cyrl-RS"/>
        </w:rPr>
        <w:t xml:space="preserve"> 71%. </w:t>
      </w:r>
    </w:p>
    <w:p w:rsidR="007569C5" w:rsidRPr="00510FC8" w:rsidRDefault="007569C5" w:rsidP="007569C5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Akcioni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plan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zapošljavanja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objavljuje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svake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ima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svrhu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postavljanje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jasnih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ciljeva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akcije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stvaranje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pozitivnih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uslova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otvaranje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novih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radnih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mesta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Rezultati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analiziraju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kvartalno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izveštaji o napretku se objavljuju.</w:t>
      </w:r>
      <w:r w:rsidRPr="00510FC8">
        <w:rPr>
          <w:rStyle w:val="FootnoteReference"/>
          <w:rFonts w:cs="Arial"/>
          <w:color w:val="222222"/>
          <w:sz w:val="20"/>
          <w:szCs w:val="20"/>
          <w:lang w:val="sr-Cyrl-RS"/>
        </w:rPr>
        <w:footnoteReference w:id="17"/>
      </w:r>
    </w:p>
    <w:p w:rsidR="007569C5" w:rsidRPr="00510FC8" w:rsidRDefault="007569C5" w:rsidP="007569C5">
      <w:pPr>
        <w:pStyle w:val="Heading2"/>
        <w:numPr>
          <w:ilvl w:val="0"/>
          <w:numId w:val="0"/>
        </w:numPr>
        <w:ind w:left="578" w:hanging="578"/>
      </w:pPr>
      <w:bookmarkStart w:id="6" w:name="_Toc436217187"/>
      <w:r>
        <w:t>Nemačka</w:t>
      </w:r>
      <w:bookmarkEnd w:id="6"/>
    </w:p>
    <w:p w:rsidR="007569C5" w:rsidRPr="00171789" w:rsidRDefault="007569C5" w:rsidP="007569C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Prema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podacima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nemačkog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Bundestaga</w:t>
      </w:r>
      <w:r w:rsidRPr="00510FC8">
        <w:rPr>
          <w:rFonts w:ascii="Arial" w:hAnsi="Arial" w:cs="Arial"/>
          <w:sz w:val="20"/>
          <w:szCs w:val="20"/>
          <w:lang w:val="sr-Cyrl-RS"/>
        </w:rPr>
        <w:t>,</w:t>
      </w:r>
      <w:r w:rsidRPr="00510FC8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nezaposlenost trenutno iznosi 6,3%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što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odgovara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stopi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planirane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nezaposlenosti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Imajući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vidu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posledice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ekonomske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krize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navodi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ove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rezultat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pozitivan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Dakle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zapošljavanje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stalnom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porastu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broj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nezaposlenih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trenutno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najnižem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nivou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poslednjih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dvadeset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godina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Saveznoj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Republici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Nemačkoj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nema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posebnih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procena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ili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ciljeva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koji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odnose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tržišta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rada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kraj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tekućeg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mandata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ili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aktuelnom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koalicionom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sporazumu</w:t>
      </w:r>
      <w:r w:rsidRPr="00171789">
        <w:rPr>
          <w:rStyle w:val="FootnoteReference"/>
          <w:rFonts w:ascii="Arial" w:hAnsi="Arial" w:cs="Arial"/>
          <w:sz w:val="20"/>
          <w:szCs w:val="20"/>
          <w:lang w:val="sr-Cyrl-RS"/>
        </w:rPr>
        <w:footnoteReference w:id="18"/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ni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najave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Savezne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vlade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ili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izjave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parlamentarnih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grupa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nemačkom</w:t>
      </w:r>
      <w:r w:rsidRPr="00171789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Bundestagu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kako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navode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predstavnici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Istraživačke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službe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Bundestaga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ali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cilj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politike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tržišta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radne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snage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preporukama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Međunarodne organizacije rada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17178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stopa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nezaposlenosti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bude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 xml:space="preserve"> 4,9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procenata</w:t>
      </w:r>
      <w:r w:rsidRPr="00171789">
        <w:rPr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7569C5" w:rsidRPr="00510FC8" w:rsidRDefault="007569C5" w:rsidP="007569C5">
      <w:pPr>
        <w:pStyle w:val="Heading2"/>
        <w:numPr>
          <w:ilvl w:val="0"/>
          <w:numId w:val="0"/>
        </w:numPr>
        <w:ind w:left="578" w:hanging="578"/>
      </w:pPr>
      <w:bookmarkStart w:id="7" w:name="_Toc436217188"/>
      <w:r>
        <w:lastRenderedPageBreak/>
        <w:t>Norveška</w:t>
      </w:r>
      <w:bookmarkEnd w:id="7"/>
    </w:p>
    <w:p w:rsidR="007569C5" w:rsidRPr="00844FB6" w:rsidRDefault="007569C5" w:rsidP="007569C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Cyrl-RS"/>
        </w:rPr>
        <w:t>Istraživačka služba norveškog parlamenta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dostavila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informacije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koji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odnose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zvanični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nacionalni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cilj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ili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projekcije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zaposlenosti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Norveškoj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Navodi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su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mere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Vlade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odnose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nezaposlenost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učešće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radne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snage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ili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broja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zaposlenih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ljudi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opšteg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tipa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ciljem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promovisanja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dobrog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funkcionisanja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tržišta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rada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namerom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doprinesu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većem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učešću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zaposlenosti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smanjenju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nezaposlenosti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podrže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borbu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protiv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isključenosti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rizičnih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grupa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tržištu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radne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snage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Navode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član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110.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norveškog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Ustava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: "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Vlasti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države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treba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stvore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uslove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pod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kojima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svaka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osoba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sposobna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rad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ima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pravo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mogućnost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zarađuje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život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kroz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svoj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rad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>"</w:t>
      </w:r>
    </w:p>
    <w:p w:rsidR="007569C5" w:rsidRPr="00844FB6" w:rsidRDefault="007569C5" w:rsidP="007569C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Treba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napomenuti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Norveška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imala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jednu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najnižih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stopa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nezaposlenosti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Evropi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tokom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poslednjih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godina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- 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 aprilu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2014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3.3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%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martu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2015.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godine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844FB6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4,1</w:t>
      </w:r>
      <w:r w:rsidRPr="00844FB6">
        <w:rPr>
          <w:rFonts w:ascii="Arial" w:hAnsi="Arial" w:cs="Arial"/>
          <w:color w:val="222222"/>
          <w:sz w:val="20"/>
          <w:szCs w:val="20"/>
          <w:lang w:val="sr-Cyrl-RS"/>
        </w:rPr>
        <w:t>%.</w:t>
      </w:r>
    </w:p>
    <w:p w:rsidR="007569C5" w:rsidRPr="00510FC8" w:rsidRDefault="007569C5" w:rsidP="007569C5">
      <w:pPr>
        <w:pStyle w:val="Heading2"/>
        <w:numPr>
          <w:ilvl w:val="0"/>
          <w:numId w:val="0"/>
        </w:numPr>
        <w:ind w:left="578" w:hanging="578"/>
      </w:pPr>
      <w:bookmarkStart w:id="8" w:name="_Toc436217189"/>
      <w:r>
        <w:t>Finska</w:t>
      </w:r>
      <w:bookmarkEnd w:id="8"/>
    </w:p>
    <w:p w:rsidR="007569C5" w:rsidRPr="00510FC8" w:rsidRDefault="007569C5" w:rsidP="007569C5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Strateški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finske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čelu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premijerom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844FB6">
        <w:rPr>
          <w:rFonts w:ascii="Arial" w:eastAsia="Times New Roman" w:hAnsi="Arial" w:cs="Arial"/>
          <w:i/>
          <w:sz w:val="20"/>
          <w:szCs w:val="20"/>
          <w:lang w:val="sr-Cyrl-RS"/>
        </w:rPr>
        <w:t>Juha Sipilä</w:t>
      </w:r>
      <w:r w:rsidRPr="00844FB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predstavljen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je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maju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ove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Što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tiče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tržišta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rada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ciljeva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2020. </w:t>
      </w:r>
      <w:r>
        <w:rPr>
          <w:rFonts w:ascii="Arial" w:eastAsia="Times New Roman" w:hAnsi="Arial" w:cs="Arial"/>
          <w:sz w:val="20"/>
          <w:szCs w:val="20"/>
          <w:lang w:val="sr-Cyrl-RS"/>
        </w:rPr>
        <w:t>godinu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očekuje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porast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stope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zaposlenosti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više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od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EU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proseka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kao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porast broja zaposlenih za oko 110.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000 </w:t>
      </w:r>
      <w:r>
        <w:rPr>
          <w:rFonts w:ascii="Arial" w:eastAsia="Times New Roman" w:hAnsi="Arial" w:cs="Arial"/>
          <w:sz w:val="20"/>
          <w:szCs w:val="20"/>
          <w:lang w:val="sr-Cyrl-RS"/>
        </w:rPr>
        <w:t>lica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tokom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mandata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Vlade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sz w:val="20"/>
          <w:szCs w:val="20"/>
          <w:lang w:val="sr-Cyrl-RS"/>
        </w:rPr>
        <w:t>Prema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raspoloživim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podacima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aprila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ove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godine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Times New Roman" w:hAnsi="Arial" w:cs="Arial"/>
          <w:sz w:val="20"/>
          <w:szCs w:val="20"/>
          <w:lang w:val="sr-Cyrl-RS"/>
        </w:rPr>
        <w:t>stopa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zaposlenosti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u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Finskoj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iznosi  67,7%, a broj zaposlenih je 2.429.</w:t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>000.</w:t>
      </w:r>
      <w:r w:rsidRPr="00510FC8">
        <w:rPr>
          <w:rStyle w:val="FootnoteReference"/>
          <w:rFonts w:cs="Arial"/>
          <w:sz w:val="20"/>
          <w:szCs w:val="20"/>
          <w:lang w:val="sr-Cyrl-RS"/>
        </w:rPr>
        <w:footnoteReference w:id="19"/>
      </w:r>
      <w:r w:rsidRPr="00510FC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</w:p>
    <w:p w:rsidR="007569C5" w:rsidRPr="00281711" w:rsidRDefault="007569C5" w:rsidP="007569C5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Ciljevi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njihova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procena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narednih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deset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odnose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28171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ekonomske</w:t>
      </w:r>
      <w:r w:rsidRPr="0028171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parametre</w:t>
      </w:r>
      <w:r w:rsidRPr="00281711">
        <w:rPr>
          <w:rFonts w:ascii="Arial" w:hAnsi="Arial" w:cs="Arial"/>
          <w:color w:val="222222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preduzetništvo</w:t>
      </w:r>
      <w:r w:rsidRPr="00281711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investicije</w:t>
      </w:r>
      <w:r w:rsidRPr="0028171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28171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konkurentnost</w:t>
      </w:r>
      <w:r w:rsidRPr="00281711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Postizanje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ciljeva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zahteva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strukturne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reforme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koje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će</w:t>
      </w:r>
      <w:r w:rsidRPr="0028171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promo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visati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sprovoditi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prvenstveno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Vlada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Takođe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finska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Vlada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planira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čuvanje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finansiranj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socijalnih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usluga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socijalne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transfere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Sprovođenje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reformske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politike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delu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podrške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investiranju,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razvoj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uslužne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delatnosti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konkurentnost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treba</w:t>
      </w:r>
      <w:r w:rsidRPr="0028171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28171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poveća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ju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ponudu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radne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snage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nivo</w:t>
      </w:r>
      <w:r w:rsidRPr="00281711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preduzetništva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diversifikacij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poslova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kao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281711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nivo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javn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ih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finansij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a.</w:t>
      </w:r>
      <w:r w:rsidRPr="00281711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</w:p>
    <w:p w:rsidR="007569C5" w:rsidRPr="00FC6834" w:rsidRDefault="007569C5" w:rsidP="007569C5">
      <w:pPr>
        <w:spacing w:line="360" w:lineRule="auto"/>
        <w:jc w:val="both"/>
        <w:rPr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7569C5" w:rsidRDefault="007569C5" w:rsidP="007569C5">
      <w:pPr>
        <w:rPr>
          <w:rFonts w:ascii="Arial" w:hAnsi="Arial" w:cs="Arial"/>
          <w:b/>
          <w:sz w:val="20"/>
          <w:szCs w:val="20"/>
          <w:lang w:val="sr-Cyrl-RS"/>
        </w:rPr>
      </w:pPr>
    </w:p>
    <w:p w:rsidR="00FC4218" w:rsidRDefault="00FC4218" w:rsidP="007569C5">
      <w:pPr>
        <w:rPr>
          <w:rFonts w:ascii="Arial" w:hAnsi="Arial" w:cs="Arial"/>
          <w:b/>
          <w:sz w:val="20"/>
          <w:szCs w:val="20"/>
          <w:lang w:val="sr-Cyrl-RS"/>
        </w:rPr>
      </w:pPr>
    </w:p>
    <w:p w:rsidR="00FC4218" w:rsidRDefault="00FC4218" w:rsidP="007569C5">
      <w:pPr>
        <w:rPr>
          <w:rFonts w:ascii="Arial" w:hAnsi="Arial" w:cs="Arial"/>
          <w:b/>
          <w:sz w:val="20"/>
          <w:szCs w:val="20"/>
          <w:lang w:val="sr-Cyrl-RS"/>
        </w:rPr>
      </w:pPr>
    </w:p>
    <w:p w:rsidR="00FC4218" w:rsidRDefault="00FC4218" w:rsidP="007569C5">
      <w:pPr>
        <w:rPr>
          <w:rFonts w:ascii="Arial" w:hAnsi="Arial" w:cs="Arial"/>
          <w:b/>
          <w:sz w:val="20"/>
          <w:szCs w:val="20"/>
          <w:lang w:val="sr-Cyrl-RS"/>
        </w:rPr>
      </w:pPr>
    </w:p>
    <w:p w:rsidR="00FC4218" w:rsidRDefault="00FC4218" w:rsidP="007569C5">
      <w:pPr>
        <w:rPr>
          <w:rFonts w:ascii="Arial" w:hAnsi="Arial" w:cs="Arial"/>
          <w:b/>
          <w:sz w:val="20"/>
          <w:szCs w:val="20"/>
          <w:lang w:val="sr-Cyrl-RS"/>
        </w:rPr>
      </w:pPr>
    </w:p>
    <w:p w:rsidR="00FC4218" w:rsidRDefault="00FC4218" w:rsidP="007569C5">
      <w:pPr>
        <w:rPr>
          <w:rFonts w:ascii="Arial" w:hAnsi="Arial" w:cs="Arial"/>
          <w:b/>
          <w:sz w:val="20"/>
          <w:szCs w:val="20"/>
          <w:lang w:val="sr-Cyrl-RS"/>
        </w:rPr>
      </w:pPr>
    </w:p>
    <w:p w:rsidR="00FC4218" w:rsidRDefault="00FC4218" w:rsidP="007569C5">
      <w:pPr>
        <w:rPr>
          <w:rFonts w:ascii="Arial" w:hAnsi="Arial" w:cs="Arial"/>
          <w:b/>
          <w:sz w:val="20"/>
          <w:szCs w:val="20"/>
          <w:lang w:val="sr-Cyrl-RS"/>
        </w:rPr>
      </w:pPr>
    </w:p>
    <w:p w:rsidR="00FC4218" w:rsidRPr="00686DF0" w:rsidRDefault="00FC4218" w:rsidP="007569C5">
      <w:pPr>
        <w:rPr>
          <w:rFonts w:ascii="Arial" w:hAnsi="Arial" w:cs="Arial"/>
          <w:b/>
          <w:sz w:val="20"/>
          <w:szCs w:val="20"/>
          <w:lang w:val="sr-Cyrl-RS"/>
        </w:rPr>
      </w:pPr>
    </w:p>
    <w:p w:rsidR="007569C5" w:rsidRPr="004551FE" w:rsidRDefault="007569C5" w:rsidP="007569C5">
      <w:pPr>
        <w:rPr>
          <w:rFonts w:ascii="Arial" w:hAnsi="Arial" w:cs="Arial"/>
          <w:b/>
          <w:i/>
          <w:iCs/>
          <w:sz w:val="20"/>
          <w:szCs w:val="20"/>
          <w:lang w:val="sr-Cyrl-RS"/>
        </w:rPr>
      </w:pPr>
      <w:r>
        <w:rPr>
          <w:rFonts w:ascii="Arial" w:hAnsi="Arial" w:cs="Arial"/>
          <w:b/>
          <w:i/>
          <w:iCs/>
          <w:sz w:val="20"/>
          <w:szCs w:val="20"/>
          <w:lang w:val="sr-Cyrl-RS"/>
        </w:rPr>
        <w:t>Izvori</w:t>
      </w:r>
      <w:r w:rsidRPr="004551FE">
        <w:rPr>
          <w:rFonts w:ascii="Arial" w:hAnsi="Arial" w:cs="Arial"/>
          <w:b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i/>
          <w:iCs/>
          <w:sz w:val="20"/>
          <w:szCs w:val="20"/>
          <w:lang w:val="sr-Cyrl-RS"/>
        </w:rPr>
        <w:t>informacija</w:t>
      </w:r>
    </w:p>
    <w:p w:rsidR="007569C5" w:rsidRPr="00CD36DD" w:rsidRDefault="007569C5" w:rsidP="007569C5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color w:val="222222"/>
          <w:sz w:val="20"/>
          <w:szCs w:val="20"/>
          <w:u w:val="none"/>
          <w:lang w:val="sr-Cyrl-RS"/>
        </w:rPr>
      </w:pPr>
      <w:r>
        <w:rPr>
          <w:rFonts w:ascii="Arial" w:hAnsi="Arial" w:cs="Arial"/>
          <w:sz w:val="20"/>
          <w:szCs w:val="20"/>
        </w:rPr>
        <w:t>ECPRD Request</w:t>
      </w:r>
      <w:r w:rsidRPr="00510FC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2867</w:t>
      </w:r>
      <w:r w:rsidRPr="00510FC8">
        <w:rPr>
          <w:rFonts w:ascii="Arial" w:hAnsi="Arial" w:cs="Arial"/>
          <w:i/>
          <w:color w:val="222222"/>
          <w:sz w:val="20"/>
          <w:szCs w:val="20"/>
          <w:lang w:val="sr-Cyrl-RS"/>
        </w:rPr>
        <w:t xml:space="preserve"> Labour market goals, </w:t>
      </w:r>
      <w:r>
        <w:rPr>
          <w:rFonts w:ascii="Arial" w:hAnsi="Arial" w:cs="Arial"/>
          <w:color w:val="222222"/>
          <w:sz w:val="20"/>
          <w:szCs w:val="20"/>
        </w:rPr>
        <w:t>June</w:t>
      </w:r>
      <w:r w:rsidRPr="00510FC8">
        <w:rPr>
          <w:rFonts w:ascii="Arial" w:hAnsi="Arial" w:cs="Arial"/>
          <w:color w:val="222222"/>
          <w:sz w:val="20"/>
          <w:szCs w:val="20"/>
          <w:lang w:val="sr-Cyrl-RS"/>
        </w:rPr>
        <w:t xml:space="preserve"> 2015. </w:t>
      </w:r>
      <w:hyperlink r:id="rId14" w:history="1">
        <w:r w:rsidRPr="00510FC8">
          <w:rPr>
            <w:rStyle w:val="Hyperlink"/>
            <w:rFonts w:ascii="Arial" w:hAnsi="Arial"/>
            <w:sz w:val="20"/>
            <w:szCs w:val="20"/>
            <w:lang w:val="sr-Cyrl-RS"/>
          </w:rPr>
          <w:t>https://ecprd.secure.europarl.europa.eu/ecprd/secured/detailreq.do?id=221300</w:t>
        </w:r>
      </w:hyperlink>
    </w:p>
    <w:p w:rsidR="007569C5" w:rsidRPr="00510FC8" w:rsidRDefault="007569C5" w:rsidP="007569C5">
      <w:pPr>
        <w:pStyle w:val="ListParagraph"/>
        <w:rPr>
          <w:rFonts w:ascii="Arial" w:hAnsi="Arial" w:cs="Arial"/>
          <w:color w:val="222222"/>
          <w:sz w:val="20"/>
          <w:szCs w:val="20"/>
          <w:lang w:val="sr-Cyrl-RS"/>
        </w:rPr>
      </w:pPr>
    </w:p>
    <w:p w:rsidR="007569C5" w:rsidRPr="00CD36DD" w:rsidRDefault="007569C5" w:rsidP="007569C5">
      <w:pPr>
        <w:pStyle w:val="ListParagraph"/>
        <w:numPr>
          <w:ilvl w:val="0"/>
          <w:numId w:val="2"/>
        </w:numPr>
        <w:spacing w:before="100" w:beforeAutospacing="1" w:after="100" w:afterAutospacing="1" w:line="240" w:lineRule="auto"/>
        <w:rPr>
          <w:rStyle w:val="Hyperlink"/>
          <w:rFonts w:ascii="Arial" w:hAnsi="Arial" w:cs="Arial"/>
          <w:i/>
          <w:color w:val="auto"/>
          <w:sz w:val="20"/>
          <w:szCs w:val="20"/>
          <w:u w:val="none"/>
          <w:lang w:val="sr-Cyrl-RS"/>
        </w:rPr>
      </w:pPr>
      <w:hyperlink r:id="rId15" w:history="1">
        <w:r w:rsidRPr="00CD36DD">
          <w:rPr>
            <w:rStyle w:val="Hyperlink"/>
            <w:rFonts w:ascii="Arial" w:hAnsi="Arial"/>
            <w:color w:val="auto"/>
            <w:sz w:val="20"/>
            <w:szCs w:val="20"/>
            <w:u w:val="none"/>
            <w:lang w:val="sr-Cyrl-RS"/>
          </w:rPr>
          <w:t>European Commission</w:t>
        </w:r>
      </w:hyperlink>
      <w:r w:rsidRPr="00CD36DD">
        <w:rPr>
          <w:rFonts w:ascii="Arial" w:hAnsi="Arial" w:cs="Arial"/>
          <w:sz w:val="20"/>
          <w:szCs w:val="20"/>
          <w:lang w:val="sr-Cyrl-RS"/>
        </w:rPr>
        <w:t xml:space="preserve">, </w:t>
      </w:r>
      <w:hyperlink r:id="rId16" w:history="1">
        <w:r w:rsidRPr="00CD36DD">
          <w:rPr>
            <w:rStyle w:val="Hyperlink"/>
            <w:rFonts w:ascii="Arial" w:hAnsi="Arial"/>
            <w:color w:val="auto"/>
            <w:sz w:val="20"/>
            <w:szCs w:val="20"/>
            <w:u w:val="none"/>
            <w:lang w:val="sr-Cyrl-RS"/>
          </w:rPr>
          <w:t>Eurostat</w:t>
        </w:r>
      </w:hyperlink>
      <w:r w:rsidRPr="00CD36DD">
        <w:rPr>
          <w:rFonts w:ascii="Arial" w:hAnsi="Arial" w:cs="Arial"/>
          <w:sz w:val="20"/>
          <w:szCs w:val="20"/>
          <w:lang w:val="sr-Cyrl-RS"/>
        </w:rPr>
        <w:t xml:space="preserve">, </w:t>
      </w:r>
      <w:hyperlink r:id="rId17" w:history="1">
        <w:r w:rsidRPr="00CD36DD">
          <w:rPr>
            <w:rStyle w:val="Hyperlink"/>
            <w:rFonts w:ascii="Arial" w:hAnsi="Arial"/>
            <w:color w:val="auto"/>
            <w:sz w:val="20"/>
            <w:szCs w:val="20"/>
            <w:u w:val="none"/>
            <w:lang w:val="sr-Cyrl-RS"/>
          </w:rPr>
          <w:t>Europe 2020 Indicators</w:t>
        </w:r>
      </w:hyperlink>
      <w:r w:rsidRPr="00CD36DD">
        <w:rPr>
          <w:rFonts w:ascii="Arial" w:hAnsi="Arial" w:cs="Arial"/>
          <w:sz w:val="20"/>
          <w:szCs w:val="20"/>
          <w:lang w:val="sr-Cyrl-RS"/>
        </w:rPr>
        <w:t xml:space="preserve">, </w:t>
      </w:r>
      <w:hyperlink r:id="rId18" w:history="1">
        <w:r w:rsidRPr="00CD36DD">
          <w:rPr>
            <w:rStyle w:val="Hyperlink"/>
            <w:rFonts w:ascii="Arial" w:hAnsi="Arial"/>
            <w:color w:val="auto"/>
            <w:sz w:val="20"/>
            <w:szCs w:val="20"/>
            <w:u w:val="none"/>
            <w:lang w:val="sr-Cyrl-RS"/>
          </w:rPr>
          <w:t xml:space="preserve">Europe 2020 </w:t>
        </w:r>
        <w:r w:rsidRPr="00CD36DD">
          <w:rPr>
            <w:rStyle w:val="Hyperlink"/>
            <w:rFonts w:ascii="Arial" w:hAnsi="Arial"/>
            <w:color w:val="auto"/>
            <w:sz w:val="20"/>
            <w:szCs w:val="20"/>
            <w:u w:val="none"/>
            <w:lang w:val="fr-BE"/>
          </w:rPr>
          <w:t>S</w:t>
        </w:r>
        <w:r w:rsidRPr="00CD36DD">
          <w:rPr>
            <w:rStyle w:val="Hyperlink"/>
            <w:rFonts w:ascii="Arial" w:hAnsi="Arial"/>
            <w:color w:val="auto"/>
            <w:sz w:val="20"/>
            <w:szCs w:val="20"/>
            <w:u w:val="none"/>
            <w:lang w:val="sr-Cyrl-RS"/>
          </w:rPr>
          <w:t>trategy</w:t>
        </w:r>
      </w:hyperlink>
      <w:r w:rsidRPr="00CD36DD">
        <w:rPr>
          <w:rFonts w:ascii="Arial" w:hAnsi="Arial" w:cs="Arial"/>
          <w:sz w:val="20"/>
          <w:szCs w:val="20"/>
          <w:lang w:val="sr-Cyrl-RS"/>
        </w:rPr>
        <w:t>:</w:t>
      </w:r>
      <w:r w:rsidRPr="00CD36DD">
        <w:rPr>
          <w:rFonts w:ascii="Arial" w:hAnsi="Arial" w:cs="Arial"/>
          <w:sz w:val="20"/>
          <w:szCs w:val="20"/>
          <w:lang w:val="fr-BE"/>
        </w:rPr>
        <w:t xml:space="preserve"> </w:t>
      </w:r>
      <w:hyperlink r:id="rId19" w:history="1">
        <w:r w:rsidRPr="00CD36DD">
          <w:rPr>
            <w:rStyle w:val="Hyperlink"/>
            <w:rFonts w:ascii="Arial" w:hAnsi="Arial"/>
            <w:sz w:val="20"/>
            <w:szCs w:val="20"/>
            <w:lang w:val="sr-Cyrl-RS"/>
          </w:rPr>
          <w:t>http://ec.europa.eu/eurostat/web/europe-2020-indicators/europe-2020-strategy/headline-indicators-scoreboard</w:t>
        </w:r>
      </w:hyperlink>
    </w:p>
    <w:p w:rsidR="007569C5" w:rsidRPr="00CD36DD" w:rsidRDefault="007569C5" w:rsidP="007569C5">
      <w:pPr>
        <w:pStyle w:val="ListParagraph"/>
        <w:spacing w:before="100" w:beforeAutospacing="1" w:after="100" w:afterAutospacing="1" w:line="240" w:lineRule="auto"/>
        <w:rPr>
          <w:rStyle w:val="Hyperlink"/>
          <w:rFonts w:ascii="Arial" w:hAnsi="Arial" w:cs="Arial"/>
          <w:i/>
          <w:color w:val="auto"/>
          <w:sz w:val="20"/>
          <w:szCs w:val="20"/>
          <w:u w:val="none"/>
          <w:lang w:val="sr-Cyrl-RS"/>
        </w:rPr>
      </w:pPr>
    </w:p>
    <w:p w:rsidR="007569C5" w:rsidRPr="00510FC8" w:rsidRDefault="007569C5" w:rsidP="007569C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Cs/>
          <w:sz w:val="20"/>
          <w:szCs w:val="20"/>
          <w:lang w:val="sr-Cyrl-RS"/>
        </w:rPr>
      </w:pPr>
      <w:r>
        <w:rPr>
          <w:rFonts w:ascii="Arial" w:hAnsi="Arial" w:cs="Arial"/>
          <w:bCs/>
          <w:sz w:val="20"/>
          <w:szCs w:val="20"/>
          <w:lang w:val="sr-Cyrl-RS"/>
        </w:rPr>
        <w:t>Istraživanje</w:t>
      </w:r>
      <w:r w:rsidRPr="00CD36D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sz w:val="20"/>
          <w:szCs w:val="20"/>
          <w:lang w:val="sr-Cyrl-RS"/>
        </w:rPr>
        <w:t>Biblioteke NSRS</w:t>
      </w:r>
      <w:r w:rsidRPr="00510FC8">
        <w:rPr>
          <w:rFonts w:ascii="Arial" w:hAnsi="Arial" w:cs="Arial"/>
          <w:bCs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bCs/>
          <w:i/>
          <w:iCs/>
          <w:sz w:val="20"/>
          <w:szCs w:val="20"/>
          <w:lang w:val="sr-Cyrl-RS"/>
        </w:rPr>
        <w:t>Položaj</w:t>
      </w:r>
      <w:r w:rsidRPr="00CD36DD">
        <w:rPr>
          <w:rFonts w:ascii="Arial" w:hAnsi="Arial" w:cs="Arial"/>
          <w:bCs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RS"/>
        </w:rPr>
        <w:t>mladih</w:t>
      </w:r>
      <w:r w:rsidRPr="00CD36DD">
        <w:rPr>
          <w:rFonts w:ascii="Arial" w:hAnsi="Arial" w:cs="Arial"/>
          <w:bCs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RS"/>
        </w:rPr>
        <w:t>u</w:t>
      </w:r>
      <w:r w:rsidRPr="00CD36DD">
        <w:rPr>
          <w:rFonts w:ascii="Arial" w:hAnsi="Arial" w:cs="Arial"/>
          <w:bCs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RS"/>
        </w:rPr>
        <w:t>sistemu</w:t>
      </w:r>
      <w:r w:rsidRPr="00CD36DD">
        <w:rPr>
          <w:rFonts w:ascii="Arial" w:hAnsi="Arial" w:cs="Arial"/>
          <w:bCs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RS"/>
        </w:rPr>
        <w:t>socijalne</w:t>
      </w:r>
      <w:r w:rsidRPr="00CD36DD">
        <w:rPr>
          <w:rFonts w:ascii="Arial" w:hAnsi="Arial" w:cs="Arial"/>
          <w:bCs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Cs/>
          <w:i/>
          <w:iCs/>
          <w:sz w:val="20"/>
          <w:szCs w:val="20"/>
          <w:lang w:val="sr-Cyrl-RS"/>
        </w:rPr>
        <w:t>zaštite</w:t>
      </w:r>
      <w:r w:rsidRPr="00510FC8">
        <w:rPr>
          <w:rFonts w:ascii="Arial" w:hAnsi="Arial" w:cs="Arial"/>
          <w:bCs/>
          <w:sz w:val="20"/>
          <w:szCs w:val="20"/>
          <w:lang w:val="sr-Cyrl-RS"/>
        </w:rPr>
        <w:t>, 2013.</w:t>
      </w:r>
    </w:p>
    <w:p w:rsidR="007569C5" w:rsidRPr="00FC6834" w:rsidRDefault="007569C5" w:rsidP="007569C5">
      <w:pPr>
        <w:pStyle w:val="ListParagraph"/>
        <w:jc w:val="both"/>
        <w:rPr>
          <w:rStyle w:val="Hyperlink"/>
          <w:rFonts w:ascii="Arial" w:hAnsi="Arial" w:cs="Arial"/>
          <w:bCs/>
          <w:sz w:val="20"/>
          <w:szCs w:val="20"/>
          <w:lang w:val="sr-Cyrl-RS"/>
        </w:rPr>
      </w:pPr>
      <w:hyperlink r:id="rId20" w:history="1">
        <w:r w:rsidRPr="00510FC8">
          <w:rPr>
            <w:rStyle w:val="Hyperlink"/>
            <w:rFonts w:ascii="Arial" w:hAnsi="Arial"/>
            <w:sz w:val="20"/>
            <w:szCs w:val="20"/>
            <w:lang w:val="sr-Cyrl-RS"/>
          </w:rPr>
          <w:t>http://www.parlament.gov.rs/narodna-skupstina-/organizacija-i-strucna-sluzba/biblioteka-narodne-skupstine.1506.html</w:t>
        </w:r>
      </w:hyperlink>
    </w:p>
    <w:p w:rsidR="007569C5" w:rsidRPr="00FC6834" w:rsidRDefault="007569C5" w:rsidP="007569C5">
      <w:pPr>
        <w:pStyle w:val="ListParagraph"/>
        <w:jc w:val="both"/>
        <w:rPr>
          <w:rStyle w:val="Hyperlink"/>
          <w:rFonts w:ascii="Arial" w:hAnsi="Arial"/>
          <w:bCs/>
          <w:sz w:val="20"/>
          <w:szCs w:val="20"/>
          <w:lang w:val="sr-Cyrl-RS"/>
        </w:rPr>
      </w:pPr>
    </w:p>
    <w:p w:rsidR="007569C5" w:rsidRPr="00CD36DD" w:rsidRDefault="007569C5" w:rsidP="007569C5">
      <w:pPr>
        <w:pStyle w:val="ListParagraph"/>
        <w:numPr>
          <w:ilvl w:val="0"/>
          <w:numId w:val="2"/>
        </w:numPr>
        <w:jc w:val="both"/>
        <w:rPr>
          <w:rFonts w:ascii="Arial" w:hAnsi="Arial"/>
          <w:bCs/>
          <w:sz w:val="20"/>
          <w:szCs w:val="20"/>
          <w:lang w:val="sr-Cyrl-RS"/>
        </w:rPr>
      </w:pPr>
      <w:r>
        <w:rPr>
          <w:rFonts w:ascii="Arial" w:hAnsi="Arial"/>
          <w:bCs/>
          <w:sz w:val="20"/>
          <w:szCs w:val="20"/>
          <w:lang w:val="sr-Cyrl-RS"/>
        </w:rPr>
        <w:t xml:space="preserve">Mijatović,B., (2015.) </w:t>
      </w:r>
      <w:r>
        <w:rPr>
          <w:rFonts w:ascii="Arial" w:hAnsi="Arial"/>
          <w:bCs/>
          <w:i/>
          <w:sz w:val="20"/>
          <w:szCs w:val="20"/>
          <w:lang w:val="sr-Cyrl-RS"/>
        </w:rPr>
        <w:t>Siromaštvo</w:t>
      </w:r>
      <w:r w:rsidRPr="007E2F11">
        <w:rPr>
          <w:rFonts w:ascii="Arial" w:hAnsi="Arial"/>
          <w:bCs/>
          <w:i/>
          <w:sz w:val="20"/>
          <w:szCs w:val="20"/>
          <w:lang w:val="sr-Cyrl-RS"/>
        </w:rPr>
        <w:t xml:space="preserve"> </w:t>
      </w:r>
      <w:r>
        <w:rPr>
          <w:rFonts w:ascii="Arial" w:hAnsi="Arial"/>
          <w:bCs/>
          <w:i/>
          <w:sz w:val="20"/>
          <w:szCs w:val="20"/>
          <w:lang w:val="sr-Cyrl-RS"/>
        </w:rPr>
        <w:t>u</w:t>
      </w:r>
      <w:r w:rsidRPr="007E2F11">
        <w:rPr>
          <w:rFonts w:ascii="Arial" w:hAnsi="Arial"/>
          <w:bCs/>
          <w:i/>
          <w:sz w:val="20"/>
          <w:szCs w:val="20"/>
          <w:lang w:val="sr-Cyrl-RS"/>
        </w:rPr>
        <w:t xml:space="preserve"> </w:t>
      </w:r>
      <w:r>
        <w:rPr>
          <w:rFonts w:ascii="Arial" w:hAnsi="Arial"/>
          <w:bCs/>
          <w:i/>
          <w:sz w:val="20"/>
          <w:szCs w:val="20"/>
          <w:lang w:val="sr-Cyrl-RS"/>
        </w:rPr>
        <w:t>Srbiji</w:t>
      </w:r>
      <w:r w:rsidRPr="007E2F11">
        <w:rPr>
          <w:rFonts w:ascii="Arial" w:hAnsi="Arial"/>
          <w:bCs/>
          <w:i/>
          <w:sz w:val="20"/>
          <w:szCs w:val="20"/>
          <w:lang w:val="sr-Cyrl-RS"/>
        </w:rPr>
        <w:t xml:space="preserve"> </w:t>
      </w:r>
      <w:r>
        <w:rPr>
          <w:rFonts w:ascii="Arial" w:hAnsi="Arial"/>
          <w:bCs/>
          <w:i/>
          <w:sz w:val="20"/>
          <w:szCs w:val="20"/>
          <w:lang w:val="sr-Cyrl-RS"/>
        </w:rPr>
        <w:t>u</w:t>
      </w:r>
      <w:r w:rsidRPr="007E2F11">
        <w:rPr>
          <w:rFonts w:ascii="Arial" w:hAnsi="Arial"/>
          <w:bCs/>
          <w:i/>
          <w:sz w:val="20"/>
          <w:szCs w:val="20"/>
          <w:lang w:val="sr-Cyrl-RS"/>
        </w:rPr>
        <w:t xml:space="preserve"> 2014 </w:t>
      </w:r>
      <w:r>
        <w:rPr>
          <w:rFonts w:ascii="Arial" w:hAnsi="Arial"/>
          <w:bCs/>
          <w:i/>
          <w:sz w:val="20"/>
          <w:szCs w:val="20"/>
          <w:lang w:val="sr-Cyrl-RS"/>
        </w:rPr>
        <w:t>godini</w:t>
      </w:r>
      <w:r w:rsidRPr="007E2F11">
        <w:rPr>
          <w:rFonts w:ascii="Arial" w:hAnsi="Arial"/>
          <w:bCs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Tim</w:t>
      </w:r>
      <w:r w:rsidRPr="00A21A1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A21A1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socijalno</w:t>
      </w:r>
      <w:r w:rsidRPr="00A21A1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uključivanje</w:t>
      </w:r>
      <w:r w:rsidRPr="00A21A1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21A1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smanjenje</w:t>
      </w:r>
      <w:r w:rsidRPr="00A21A1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siromaštva</w:t>
      </w:r>
      <w:r w:rsidRPr="00A21A1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Pr="00A21A1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Srbije</w:t>
      </w:r>
    </w:p>
    <w:p w:rsidR="007569C5" w:rsidRPr="00510FC8" w:rsidRDefault="007569C5" w:rsidP="007569C5">
      <w:pPr>
        <w:pStyle w:val="FootnoteText"/>
        <w:numPr>
          <w:ilvl w:val="0"/>
          <w:numId w:val="2"/>
        </w:num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Republički</w:t>
      </w:r>
      <w:r w:rsidRPr="00510F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zavod</w:t>
      </w:r>
      <w:r w:rsidRPr="00510F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Pr="00510FC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statistiku</w:t>
      </w:r>
      <w:r w:rsidRPr="00510FC8">
        <w:rPr>
          <w:rFonts w:ascii="Arial" w:hAnsi="Arial" w:cs="Arial"/>
          <w:lang w:val="sr-Cyrl-RS"/>
        </w:rPr>
        <w:t xml:space="preserve">: </w:t>
      </w:r>
      <w:hyperlink r:id="rId21" w:history="1">
        <w:r w:rsidRPr="00510FC8">
          <w:rPr>
            <w:rStyle w:val="Hyperlink"/>
            <w:rFonts w:ascii="Arial" w:hAnsi="Arial"/>
            <w:lang w:val="sr-Cyrl-RS"/>
          </w:rPr>
          <w:t>http://webrzs.stat.gov.rs/WebSite/Public/PageView.aspx?pKey=2</w:t>
        </w:r>
      </w:hyperlink>
    </w:p>
    <w:p w:rsidR="007569C5" w:rsidRPr="00A21A1B" w:rsidRDefault="007569C5" w:rsidP="007569C5">
      <w:pPr>
        <w:pStyle w:val="ListParagraph"/>
        <w:jc w:val="both"/>
        <w:rPr>
          <w:rFonts w:ascii="Arial" w:hAnsi="Arial"/>
          <w:bCs/>
          <w:sz w:val="20"/>
          <w:szCs w:val="20"/>
          <w:lang w:val="sr-Cyrl-RS"/>
        </w:rPr>
      </w:pPr>
    </w:p>
    <w:p w:rsidR="007569C5" w:rsidRPr="00510FC8" w:rsidRDefault="007569C5" w:rsidP="007569C5">
      <w:pPr>
        <w:pStyle w:val="Normal1"/>
        <w:ind w:left="360"/>
        <w:rPr>
          <w:rFonts w:ascii="Arial" w:hAnsi="Arial" w:cs="Arial"/>
          <w:sz w:val="20"/>
          <w:szCs w:val="20"/>
          <w:lang w:val="sr-Cyrl-RS"/>
        </w:rPr>
      </w:pPr>
    </w:p>
    <w:p w:rsidR="007569C5" w:rsidRPr="00510FC8" w:rsidRDefault="007569C5" w:rsidP="007569C5">
      <w:pPr>
        <w:rPr>
          <w:rFonts w:ascii="Arial" w:hAnsi="Arial" w:cs="Arial"/>
          <w:sz w:val="20"/>
          <w:szCs w:val="20"/>
          <w:lang w:val="sr-Cyrl-RS"/>
        </w:rPr>
      </w:pPr>
    </w:p>
    <w:p w:rsidR="007569C5" w:rsidRPr="00510FC8" w:rsidRDefault="007569C5" w:rsidP="007569C5">
      <w:pPr>
        <w:ind w:left="5040" w:firstLine="720"/>
        <w:jc w:val="center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Istraživanje uradila</w:t>
      </w:r>
      <w:r w:rsidRPr="00510FC8">
        <w:rPr>
          <w:rFonts w:ascii="Arial" w:hAnsi="Arial" w:cs="Arial"/>
          <w:b/>
          <w:sz w:val="20"/>
          <w:szCs w:val="20"/>
          <w:lang w:val="sr-Cyrl-RS"/>
        </w:rPr>
        <w:t>:</w:t>
      </w:r>
    </w:p>
    <w:p w:rsidR="007569C5" w:rsidRPr="004551FE" w:rsidRDefault="00D5172E" w:rsidP="007569C5">
      <w:pPr>
        <w:pStyle w:val="NoSpacing"/>
        <w:ind w:left="648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</w:t>
      </w:r>
      <w:r w:rsidR="007569C5">
        <w:rPr>
          <w:rFonts w:ascii="Arial" w:hAnsi="Arial" w:cs="Arial"/>
          <w:sz w:val="20"/>
          <w:szCs w:val="20"/>
          <w:lang w:val="sr-Cyrl-RS"/>
        </w:rPr>
        <w:t>mr</w:t>
      </w:r>
      <w:r w:rsidR="007569C5"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569C5">
        <w:rPr>
          <w:rFonts w:ascii="Arial" w:hAnsi="Arial" w:cs="Arial"/>
          <w:sz w:val="20"/>
          <w:szCs w:val="20"/>
          <w:lang w:val="sr-Cyrl-RS"/>
        </w:rPr>
        <w:t>Marina</w:t>
      </w:r>
      <w:r w:rsidR="007569C5"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569C5">
        <w:rPr>
          <w:rFonts w:ascii="Arial" w:hAnsi="Arial" w:cs="Arial"/>
          <w:sz w:val="20"/>
          <w:szCs w:val="20"/>
          <w:lang w:val="sr-Cyrl-RS"/>
        </w:rPr>
        <w:t>Prijić</w:t>
      </w:r>
      <w:r w:rsidR="007569C5" w:rsidRPr="004551FE">
        <w:rPr>
          <w:rFonts w:ascii="Arial" w:hAnsi="Arial" w:cs="Arial"/>
          <w:sz w:val="20"/>
          <w:szCs w:val="20"/>
          <w:lang w:val="sr-Cyrl-RS"/>
        </w:rPr>
        <w:t>,</w:t>
      </w:r>
    </w:p>
    <w:p w:rsidR="007569C5" w:rsidRPr="004551FE" w:rsidRDefault="00D5172E" w:rsidP="007569C5">
      <w:pPr>
        <w:pStyle w:val="NoSpacing"/>
        <w:ind w:left="6480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Latn-RS"/>
        </w:rPr>
        <w:t xml:space="preserve">    </w:t>
      </w:r>
      <w:r w:rsidR="007569C5">
        <w:rPr>
          <w:rFonts w:ascii="Arial" w:hAnsi="Arial" w:cs="Arial"/>
          <w:sz w:val="20"/>
          <w:szCs w:val="20"/>
          <w:lang w:val="sr-Cyrl-RS"/>
        </w:rPr>
        <w:t>viši</w:t>
      </w:r>
      <w:r w:rsidR="007569C5" w:rsidRPr="004551FE">
        <w:rPr>
          <w:rFonts w:ascii="Arial" w:hAnsi="Arial" w:cs="Arial"/>
          <w:sz w:val="20"/>
          <w:szCs w:val="20"/>
          <w:lang w:val="sr-Cyrl-RS"/>
        </w:rPr>
        <w:t xml:space="preserve"> </w:t>
      </w:r>
      <w:r w:rsidR="007569C5">
        <w:rPr>
          <w:rFonts w:ascii="Arial" w:hAnsi="Arial" w:cs="Arial"/>
          <w:sz w:val="20"/>
          <w:szCs w:val="20"/>
          <w:lang w:val="sr-Cyrl-RS"/>
        </w:rPr>
        <w:t>savetnik</w:t>
      </w:r>
      <w:r w:rsidR="007569C5" w:rsidRPr="004551FE">
        <w:rPr>
          <w:rFonts w:ascii="Arial" w:hAnsi="Arial" w:cs="Arial"/>
          <w:sz w:val="20"/>
          <w:szCs w:val="20"/>
          <w:lang w:val="sr-Cyrl-RS"/>
        </w:rPr>
        <w:t xml:space="preserve"> - </w:t>
      </w:r>
      <w:r w:rsidR="007569C5">
        <w:rPr>
          <w:rFonts w:ascii="Arial" w:hAnsi="Arial" w:cs="Arial"/>
          <w:sz w:val="20"/>
          <w:szCs w:val="20"/>
          <w:lang w:val="sr-Cyrl-RS"/>
        </w:rPr>
        <w:t>istraživač</w:t>
      </w:r>
    </w:p>
    <w:p w:rsidR="007569C5" w:rsidRPr="004551FE" w:rsidRDefault="007569C5" w:rsidP="007569C5">
      <w:pPr>
        <w:rPr>
          <w:rFonts w:ascii="Arial" w:hAnsi="Arial" w:cs="Arial"/>
          <w:sz w:val="20"/>
          <w:szCs w:val="20"/>
          <w:lang w:val="sr-Cyrl-RS"/>
        </w:rPr>
      </w:pPr>
    </w:p>
    <w:p w:rsidR="007569C5" w:rsidRPr="004551FE" w:rsidRDefault="007569C5" w:rsidP="007569C5">
      <w:pPr>
        <w:rPr>
          <w:rFonts w:ascii="Arial" w:hAnsi="Arial" w:cs="Arial"/>
          <w:sz w:val="20"/>
          <w:szCs w:val="20"/>
          <w:lang w:val="sr-Cyrl-RS"/>
        </w:rPr>
      </w:pPr>
    </w:p>
    <w:p w:rsidR="007569C5" w:rsidRPr="00510FC8" w:rsidRDefault="007569C5" w:rsidP="007569C5">
      <w:pPr>
        <w:rPr>
          <w:rFonts w:ascii="Arial" w:hAnsi="Arial" w:cs="Arial"/>
          <w:sz w:val="20"/>
          <w:szCs w:val="20"/>
          <w:lang w:val="sr-Cyrl-RS"/>
        </w:rPr>
      </w:pPr>
    </w:p>
    <w:p w:rsidR="007569C5" w:rsidRPr="00510FC8" w:rsidRDefault="007569C5" w:rsidP="007569C5">
      <w:pPr>
        <w:rPr>
          <w:rFonts w:ascii="Arial" w:hAnsi="Arial" w:cs="Arial"/>
          <w:sz w:val="20"/>
          <w:szCs w:val="20"/>
          <w:lang w:val="sr-Cyrl-RS"/>
        </w:rPr>
      </w:pPr>
    </w:p>
    <w:p w:rsidR="007569C5" w:rsidRPr="00510FC8" w:rsidRDefault="007569C5" w:rsidP="007569C5">
      <w:pPr>
        <w:rPr>
          <w:rFonts w:ascii="Arial" w:hAnsi="Arial" w:cs="Arial"/>
          <w:sz w:val="20"/>
          <w:szCs w:val="20"/>
          <w:lang w:val="sr-Cyrl-RS"/>
        </w:rPr>
      </w:pPr>
    </w:p>
    <w:p w:rsidR="007569C5" w:rsidRPr="00D5172E" w:rsidRDefault="007569C5" w:rsidP="007569C5">
      <w:pPr>
        <w:rPr>
          <w:lang w:val="sr-Cyrl-RS"/>
        </w:rPr>
      </w:pPr>
    </w:p>
    <w:p w:rsidR="00E7084A" w:rsidRPr="00D5172E" w:rsidRDefault="00E7084A">
      <w:pPr>
        <w:rPr>
          <w:lang w:val="sr-Cyrl-RS"/>
        </w:rPr>
      </w:pPr>
    </w:p>
    <w:sectPr w:rsidR="00E7084A" w:rsidRPr="00D5172E" w:rsidSect="00D5172E">
      <w:footerReference w:type="default" r:id="rId22"/>
      <w:pgSz w:w="12240" w:h="15840"/>
      <w:pgMar w:top="1440" w:right="1440" w:bottom="1440" w:left="1440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921" w:rsidRDefault="00BC7921" w:rsidP="007569C5">
      <w:pPr>
        <w:spacing w:after="0" w:line="240" w:lineRule="auto"/>
      </w:pPr>
      <w:r>
        <w:separator/>
      </w:r>
    </w:p>
  </w:endnote>
  <w:endnote w:type="continuationSeparator" w:id="0">
    <w:p w:rsidR="00BC7921" w:rsidRDefault="00BC7921" w:rsidP="007569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172E" w:rsidRDefault="00D5172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921" w:rsidRDefault="00BC7921" w:rsidP="007569C5">
      <w:pPr>
        <w:spacing w:after="0" w:line="240" w:lineRule="auto"/>
      </w:pPr>
      <w:r>
        <w:separator/>
      </w:r>
    </w:p>
  </w:footnote>
  <w:footnote w:type="continuationSeparator" w:id="0">
    <w:p w:rsidR="00BC7921" w:rsidRDefault="00BC7921" w:rsidP="007569C5">
      <w:pPr>
        <w:spacing w:after="0" w:line="240" w:lineRule="auto"/>
      </w:pPr>
      <w:r>
        <w:continuationSeparator/>
      </w:r>
    </w:p>
  </w:footnote>
  <w:footnote w:id="1">
    <w:p w:rsidR="00D5172E" w:rsidRPr="004551FE" w:rsidRDefault="00D5172E" w:rsidP="007569C5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 w:rsidRPr="004551F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323232"/>
          <w:sz w:val="18"/>
          <w:szCs w:val="18"/>
          <w:lang w:val="sr-Latn-RS"/>
        </w:rPr>
        <w:t>Mijatović, B.</w:t>
      </w:r>
      <w:r>
        <w:rPr>
          <w:rFonts w:ascii="Arial" w:hAnsi="Arial" w:cs="Arial"/>
          <w:color w:val="323232"/>
          <w:sz w:val="18"/>
          <w:szCs w:val="18"/>
          <w:lang w:val="sr-Cyrl-RS"/>
        </w:rPr>
        <w:t xml:space="preserve">(2015): </w:t>
      </w:r>
      <w:r>
        <w:rPr>
          <w:rFonts w:ascii="Arial" w:hAnsi="Arial" w:cs="Arial"/>
          <w:color w:val="323232"/>
          <w:sz w:val="18"/>
          <w:szCs w:val="18"/>
          <w:lang w:val="sr-Latn-RS"/>
        </w:rPr>
        <w:t xml:space="preserve">Prema Anketi o potrošnji domaćinstava </w:t>
      </w:r>
      <w:r w:rsidRPr="004551FE">
        <w:rPr>
          <w:rFonts w:ascii="Arial" w:hAnsi="Arial" w:cs="Arial"/>
          <w:color w:val="323232"/>
          <w:sz w:val="18"/>
          <w:szCs w:val="18"/>
          <w:lang w:val="sr-Cyrl-RS"/>
        </w:rPr>
        <w:t>2014.</w:t>
      </w:r>
    </w:p>
  </w:footnote>
  <w:footnote w:id="2">
    <w:p w:rsidR="00D5172E" w:rsidRPr="004551FE" w:rsidRDefault="00D5172E" w:rsidP="007569C5">
      <w:pPr>
        <w:pStyle w:val="NoSpacing"/>
        <w:rPr>
          <w:rFonts w:ascii="Arial" w:hAnsi="Arial" w:cs="Arial"/>
          <w:i/>
          <w:iCs/>
          <w:sz w:val="18"/>
          <w:szCs w:val="18"/>
          <w:lang w:val="sr-Cyrl-RS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 w:rsidRPr="004551FE"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i/>
          <w:iCs/>
          <w:sz w:val="18"/>
          <w:szCs w:val="18"/>
          <w:lang w:val="sr-Latn-RS"/>
        </w:rPr>
        <w:t>Projekcije za odraslo stanovništvo</w:t>
      </w:r>
      <w:r w:rsidRPr="004551FE">
        <w:rPr>
          <w:rFonts w:ascii="Arial" w:hAnsi="Arial" w:cs="Arial"/>
          <w:i/>
          <w:iCs/>
          <w:sz w:val="18"/>
          <w:szCs w:val="18"/>
          <w:lang w:val="sr-Cyrl-CS"/>
        </w:rPr>
        <w:t xml:space="preserve">; </w:t>
      </w:r>
      <w:r>
        <w:rPr>
          <w:rFonts w:ascii="Arial" w:hAnsi="Arial" w:cs="Arial"/>
          <w:iCs/>
          <w:sz w:val="18"/>
          <w:szCs w:val="18"/>
          <w:lang w:val="sr-Latn-RS"/>
        </w:rPr>
        <w:t>Prema</w:t>
      </w:r>
      <w:r w:rsidRPr="004551FE">
        <w:rPr>
          <w:rFonts w:ascii="Arial" w:hAnsi="Arial" w:cs="Arial"/>
          <w:i/>
          <w:iCs/>
          <w:sz w:val="18"/>
          <w:szCs w:val="18"/>
          <w:lang w:val="sr-Latn-RS"/>
        </w:rPr>
        <w:t xml:space="preserve">: </w:t>
      </w:r>
      <w:r>
        <w:rPr>
          <w:rFonts w:ascii="Arial" w:hAnsi="Arial" w:cs="Arial"/>
          <w:sz w:val="18"/>
          <w:szCs w:val="18"/>
          <w:lang w:val="sr-Latn-RS"/>
        </w:rPr>
        <w:t>Tabela</w:t>
      </w:r>
      <w:r w:rsidRPr="004551FE">
        <w:rPr>
          <w:rFonts w:ascii="Arial" w:hAnsi="Arial" w:cs="Arial"/>
          <w:sz w:val="18"/>
          <w:szCs w:val="18"/>
          <w:lang w:val="sr-Latn-RS"/>
        </w:rPr>
        <w:t xml:space="preserve"> 3.2.1. </w:t>
      </w:r>
      <w:r>
        <w:rPr>
          <w:rFonts w:ascii="Arial" w:hAnsi="Arial" w:cs="Arial"/>
          <w:sz w:val="18"/>
          <w:szCs w:val="18"/>
          <w:lang w:val="sr-Latn-RS"/>
        </w:rPr>
        <w:t>Osnovni pokazatelji tržišta rada odraslog stanovništva (15+), str</w:t>
      </w:r>
      <w:r w:rsidRPr="004551FE">
        <w:rPr>
          <w:rFonts w:ascii="Arial" w:hAnsi="Arial" w:cs="Arial"/>
          <w:sz w:val="18"/>
          <w:szCs w:val="18"/>
          <w:lang w:val="sr-Latn-RS"/>
        </w:rPr>
        <w:t>.44.</w:t>
      </w:r>
    </w:p>
  </w:footnote>
  <w:footnote w:id="3">
    <w:p w:rsidR="00D5172E" w:rsidRPr="004551FE" w:rsidRDefault="00D5172E" w:rsidP="007569C5">
      <w:pPr>
        <w:pStyle w:val="NoSpacing"/>
        <w:rPr>
          <w:rFonts w:ascii="Arial" w:hAnsi="Arial" w:cs="Arial"/>
          <w:i/>
          <w:sz w:val="18"/>
          <w:szCs w:val="18"/>
          <w:lang w:val="sr-Cyrl-RS"/>
        </w:rPr>
      </w:pPr>
      <w:r w:rsidRPr="004551FE">
        <w:rPr>
          <w:rStyle w:val="FootnoteReference"/>
          <w:rFonts w:ascii="Arial" w:hAnsi="Arial" w:cs="Arial"/>
          <w:sz w:val="18"/>
          <w:szCs w:val="18"/>
          <w:lang w:val="sr-Cyrl-CS"/>
        </w:rPr>
        <w:footnoteRef/>
      </w:r>
      <w:r w:rsidRPr="004551FE">
        <w:rPr>
          <w:rFonts w:ascii="Arial" w:hAnsi="Arial" w:cs="Arial"/>
          <w:i/>
          <w:iCs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iCs/>
          <w:sz w:val="18"/>
          <w:szCs w:val="18"/>
          <w:lang w:val="sr-Latn-RS"/>
        </w:rPr>
        <w:t>Isto</w:t>
      </w:r>
      <w:r w:rsidRPr="004551FE">
        <w:rPr>
          <w:rFonts w:ascii="Arial" w:hAnsi="Arial" w:cs="Arial"/>
          <w:iCs/>
          <w:sz w:val="18"/>
          <w:szCs w:val="18"/>
          <w:lang w:val="sr-Cyrl-CS"/>
        </w:rPr>
        <w:t>,</w:t>
      </w:r>
      <w:r w:rsidRPr="004551FE">
        <w:rPr>
          <w:rFonts w:ascii="Arial" w:hAnsi="Arial" w:cs="Arial"/>
          <w:i/>
          <w:iCs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i/>
          <w:sz w:val="18"/>
          <w:szCs w:val="18"/>
          <w:lang w:val="sr-Latn-RS"/>
        </w:rPr>
        <w:t xml:space="preserve">Projekcija stope nezaposlenosti odraslog stanovništva </w:t>
      </w:r>
      <w:r w:rsidRPr="004551FE">
        <w:rPr>
          <w:rFonts w:ascii="Arial" w:hAnsi="Arial" w:cs="Arial"/>
          <w:i/>
          <w:sz w:val="18"/>
          <w:szCs w:val="18"/>
          <w:lang w:val="sr-Latn-RS"/>
        </w:rPr>
        <w:t>(15+)</w:t>
      </w:r>
      <w:r w:rsidRPr="004551FE">
        <w:rPr>
          <w:rFonts w:ascii="Arial" w:hAnsi="Arial" w:cs="Arial"/>
          <w:i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i/>
          <w:sz w:val="18"/>
          <w:szCs w:val="18"/>
          <w:lang w:val="sr-Latn-RS"/>
        </w:rPr>
        <w:t xml:space="preserve">za period </w:t>
      </w:r>
      <w:r w:rsidRPr="004551FE">
        <w:rPr>
          <w:rFonts w:ascii="Arial" w:hAnsi="Arial" w:cs="Arial"/>
          <w:i/>
          <w:sz w:val="18"/>
          <w:szCs w:val="18"/>
          <w:lang w:val="sr-Latn-RS"/>
        </w:rPr>
        <w:t xml:space="preserve"> 2013</w:t>
      </w:r>
      <w:r w:rsidRPr="004551FE">
        <w:rPr>
          <w:rFonts w:ascii="Arial" w:hAnsi="Arial" w:cs="Arial"/>
          <w:i/>
          <w:sz w:val="18"/>
          <w:szCs w:val="18"/>
          <w:lang w:val="sr-Cyrl-CS"/>
        </w:rPr>
        <w:t xml:space="preserve"> </w:t>
      </w:r>
      <w:r w:rsidRPr="004551FE">
        <w:rPr>
          <w:rFonts w:ascii="Arial" w:hAnsi="Arial" w:cs="Arial"/>
          <w:i/>
          <w:sz w:val="18"/>
          <w:szCs w:val="18"/>
          <w:lang w:val="sr-Latn-RS"/>
        </w:rPr>
        <w:t>-</w:t>
      </w:r>
      <w:r w:rsidRPr="004551FE">
        <w:rPr>
          <w:rFonts w:ascii="Arial" w:hAnsi="Arial" w:cs="Arial"/>
          <w:i/>
          <w:sz w:val="18"/>
          <w:szCs w:val="18"/>
          <w:lang w:val="sr-Cyrl-CS"/>
        </w:rPr>
        <w:t xml:space="preserve"> </w:t>
      </w:r>
      <w:r w:rsidRPr="004551FE">
        <w:rPr>
          <w:rFonts w:ascii="Arial" w:hAnsi="Arial" w:cs="Arial"/>
          <w:i/>
          <w:sz w:val="18"/>
          <w:szCs w:val="18"/>
          <w:lang w:val="sr-Latn-RS"/>
        </w:rPr>
        <w:t>2020.</w:t>
      </w:r>
    </w:p>
  </w:footnote>
  <w:footnote w:id="4">
    <w:p w:rsidR="00D5172E" w:rsidRPr="004551FE" w:rsidRDefault="00D5172E" w:rsidP="007569C5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 w:rsidRPr="004551FE">
        <w:rPr>
          <w:rFonts w:ascii="Arial" w:hAnsi="Arial" w:cs="Arial"/>
          <w:sz w:val="18"/>
          <w:szCs w:val="18"/>
          <w:lang w:val="sr-Cyrl-C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RZS</w:t>
      </w:r>
      <w:r w:rsidRPr="004551FE">
        <w:rPr>
          <w:rFonts w:ascii="Arial" w:hAnsi="Arial" w:cs="Arial"/>
          <w:sz w:val="18"/>
          <w:szCs w:val="18"/>
          <w:lang w:val="sr-Latn-ME"/>
        </w:rPr>
        <w:t xml:space="preserve">: </w:t>
      </w:r>
      <w:hyperlink r:id="rId1" w:history="1">
        <w:r w:rsidRPr="004551FE">
          <w:rPr>
            <w:rStyle w:val="Hyperlink"/>
            <w:rFonts w:ascii="Arial" w:hAnsi="Arial" w:cs="Arial"/>
            <w:sz w:val="18"/>
            <w:szCs w:val="18"/>
            <w:lang w:val="sr-Latn-ME"/>
          </w:rPr>
          <w:t>http://webrzs.stat.gov.rs/WebSite/Public/PageView.aspx?pKey=2</w:t>
        </w:r>
      </w:hyperlink>
    </w:p>
  </w:footnote>
  <w:footnote w:id="5">
    <w:p w:rsidR="00D5172E" w:rsidRPr="004551FE" w:rsidRDefault="00D5172E" w:rsidP="007569C5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9724F7">
        <w:rPr>
          <w:rStyle w:val="FootnoteReference"/>
          <w:rFonts w:cs="Arial"/>
          <w:sz w:val="20"/>
          <w:szCs w:val="20"/>
        </w:rPr>
        <w:footnoteRef/>
      </w:r>
      <w:r w:rsidRPr="00686DF0">
        <w:rPr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Više informacija</w:t>
      </w:r>
      <w:r w:rsidRPr="004551FE">
        <w:rPr>
          <w:rFonts w:ascii="Arial" w:hAnsi="Arial" w:cs="Arial"/>
          <w:sz w:val="18"/>
          <w:szCs w:val="18"/>
          <w:lang w:val="sr-Cyrl-RS"/>
        </w:rPr>
        <w:t xml:space="preserve">: </w:t>
      </w:r>
      <w:r>
        <w:rPr>
          <w:rFonts w:ascii="Arial" w:hAnsi="Arial" w:cs="Arial"/>
          <w:sz w:val="18"/>
          <w:szCs w:val="18"/>
          <w:lang w:val="sr-Latn-RS"/>
        </w:rPr>
        <w:t>Tabela</w:t>
      </w:r>
      <w:r w:rsidRPr="004551FE">
        <w:rPr>
          <w:rFonts w:ascii="Arial" w:hAnsi="Arial" w:cs="Arial"/>
          <w:sz w:val="18"/>
          <w:szCs w:val="18"/>
          <w:lang w:val="sr-Latn-RS"/>
        </w:rPr>
        <w:t xml:space="preserve"> </w:t>
      </w:r>
      <w:r w:rsidRPr="004551FE">
        <w:rPr>
          <w:rFonts w:ascii="Arial" w:hAnsi="Arial" w:cs="Arial"/>
          <w:sz w:val="18"/>
          <w:szCs w:val="18"/>
          <w:lang w:val="sr-Cyrl-CS"/>
        </w:rPr>
        <w:t>1</w:t>
      </w:r>
      <w:r w:rsidRPr="004551FE">
        <w:rPr>
          <w:rFonts w:ascii="Arial" w:hAnsi="Arial" w:cs="Arial"/>
          <w:sz w:val="18"/>
          <w:szCs w:val="18"/>
          <w:lang w:val="sr-Latn-RS"/>
        </w:rPr>
        <w:t>.</w:t>
      </w:r>
      <w:r w:rsidRPr="004551FE">
        <w:rPr>
          <w:rFonts w:ascii="Arial" w:hAnsi="Arial" w:cs="Arial"/>
          <w:sz w:val="18"/>
          <w:szCs w:val="18"/>
          <w:lang w:val="sr-Cyrl-CS"/>
        </w:rPr>
        <w:t>:</w:t>
      </w:r>
      <w:r>
        <w:rPr>
          <w:rFonts w:ascii="Arial" w:hAnsi="Arial" w:cs="Arial"/>
          <w:sz w:val="18"/>
          <w:szCs w:val="18"/>
          <w:lang w:val="sr-Latn-RS"/>
        </w:rPr>
        <w:t xml:space="preserve"> Projekcija stope nezaposlenosti odraslog stanovništva (15+) za period</w:t>
      </w:r>
      <w:r w:rsidRPr="004551FE">
        <w:rPr>
          <w:rFonts w:ascii="Arial" w:hAnsi="Arial" w:cs="Arial"/>
          <w:sz w:val="18"/>
          <w:szCs w:val="18"/>
          <w:lang w:val="sr-Latn-RS"/>
        </w:rPr>
        <w:t xml:space="preserve"> 2013</w:t>
      </w:r>
      <w:r w:rsidRPr="004551FE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4551FE">
        <w:rPr>
          <w:rFonts w:ascii="Arial" w:hAnsi="Arial" w:cs="Arial"/>
          <w:sz w:val="18"/>
          <w:szCs w:val="18"/>
          <w:lang w:val="sr-Latn-RS"/>
        </w:rPr>
        <w:t>-</w:t>
      </w:r>
      <w:r w:rsidRPr="004551FE">
        <w:rPr>
          <w:rFonts w:ascii="Arial" w:hAnsi="Arial" w:cs="Arial"/>
          <w:sz w:val="18"/>
          <w:szCs w:val="18"/>
          <w:lang w:val="sr-Cyrl-CS"/>
        </w:rPr>
        <w:t xml:space="preserve"> </w:t>
      </w:r>
      <w:r w:rsidRPr="004551FE">
        <w:rPr>
          <w:rFonts w:ascii="Arial" w:hAnsi="Arial" w:cs="Arial"/>
          <w:sz w:val="18"/>
          <w:szCs w:val="18"/>
          <w:lang w:val="sr-Latn-RS"/>
        </w:rPr>
        <w:t>2020.</w:t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Istraživanje</w:t>
      </w:r>
      <w:r>
        <w:rPr>
          <w:rFonts w:ascii="Arial" w:hAnsi="Arial" w:cs="Arial"/>
          <w:sz w:val="18"/>
          <w:szCs w:val="18"/>
          <w:lang w:val="sr-Cyrl-RS"/>
        </w:rPr>
        <w:t xml:space="preserve">: </w:t>
      </w:r>
      <w:r>
        <w:rPr>
          <w:rFonts w:ascii="Arial" w:hAnsi="Arial" w:cs="Arial"/>
          <w:sz w:val="18"/>
          <w:szCs w:val="18"/>
          <w:lang w:val="sr-Latn-RS"/>
        </w:rPr>
        <w:t>Položaj mladih u sistemu socijalne zaštite</w:t>
      </w:r>
      <w:r w:rsidRPr="004551FE">
        <w:rPr>
          <w:rFonts w:ascii="Arial" w:hAnsi="Arial" w:cs="Arial"/>
          <w:sz w:val="18"/>
          <w:szCs w:val="18"/>
          <w:lang w:val="sr-Cyrl-RS"/>
        </w:rPr>
        <w:t>, 2013.</w:t>
      </w:r>
    </w:p>
    <w:p w:rsidR="00D5172E" w:rsidRPr="004551FE" w:rsidRDefault="00D5172E" w:rsidP="007569C5">
      <w:pPr>
        <w:pStyle w:val="NoSpacing"/>
        <w:rPr>
          <w:rFonts w:ascii="Arial" w:hAnsi="Arial" w:cs="Arial"/>
          <w:sz w:val="18"/>
          <w:szCs w:val="18"/>
          <w:lang w:val="sr-Latn-BA"/>
        </w:rPr>
      </w:pPr>
      <w:hyperlink r:id="rId2" w:history="1">
        <w:r w:rsidRPr="004551FE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http://www.parlament.gov.rs/narodna-skupstina-/organizacija-i-strucna-sluzba/biblioteka-narodne-skupstine.1506.html</w:t>
        </w:r>
      </w:hyperlink>
    </w:p>
  </w:footnote>
  <w:footnote w:id="6">
    <w:p w:rsidR="00D5172E" w:rsidRPr="004551FE" w:rsidRDefault="00D5172E" w:rsidP="007569C5">
      <w:pPr>
        <w:pStyle w:val="NoSpacing"/>
        <w:rPr>
          <w:rFonts w:ascii="Arial" w:hAnsi="Arial" w:cs="Arial"/>
          <w:color w:val="323232"/>
          <w:sz w:val="18"/>
          <w:szCs w:val="18"/>
          <w:lang w:val="sr-Latn-BA"/>
        </w:rPr>
      </w:pPr>
      <w:r w:rsidRPr="004551FE">
        <w:rPr>
          <w:rStyle w:val="FootnoteReference"/>
          <w:rFonts w:ascii="Arial" w:hAnsi="Arial" w:cs="Arial"/>
          <w:sz w:val="18"/>
          <w:szCs w:val="18"/>
          <w:lang w:val="sr-Latn-BA"/>
        </w:rPr>
        <w:footnoteRef/>
      </w:r>
      <w:r w:rsidRPr="004551FE">
        <w:rPr>
          <w:rFonts w:ascii="Arial" w:hAnsi="Arial" w:cs="Arial"/>
          <w:sz w:val="18"/>
          <w:szCs w:val="18"/>
          <w:lang w:val="sr-Latn-BA"/>
        </w:rPr>
        <w:t xml:space="preserve"> </w:t>
      </w:r>
      <w:hyperlink r:id="rId3" w:history="1">
        <w:r w:rsidRPr="004551FE">
          <w:rPr>
            <w:rStyle w:val="Hyperlink"/>
            <w:rFonts w:ascii="Arial" w:hAnsi="Arial" w:cs="Arial"/>
            <w:sz w:val="18"/>
            <w:szCs w:val="18"/>
            <w:lang w:val="sr-Latn-BA"/>
          </w:rPr>
          <w:t>http://ec.europa.eu/eurostat/statistics-explained/index.php/People_at_risk_of_poverty_or_social_exclusion</w:t>
        </w:r>
      </w:hyperlink>
    </w:p>
  </w:footnote>
  <w:footnote w:id="7">
    <w:p w:rsidR="00D5172E" w:rsidRPr="00E95020" w:rsidRDefault="00D5172E" w:rsidP="007569C5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4551FE">
        <w:rPr>
          <w:rStyle w:val="FootnoteReference"/>
          <w:rFonts w:ascii="Arial" w:hAnsi="Arial" w:cs="Arial"/>
          <w:sz w:val="18"/>
          <w:szCs w:val="18"/>
          <w:lang w:val="sr-Latn-BA"/>
        </w:rPr>
        <w:footnoteRef/>
      </w:r>
      <w:r>
        <w:rPr>
          <w:rFonts w:ascii="Arial" w:hAnsi="Arial" w:cs="Arial"/>
          <w:sz w:val="18"/>
          <w:szCs w:val="18"/>
          <w:lang w:val="sr-Latn-BA"/>
        </w:rPr>
        <w:t xml:space="preserve"> </w:t>
      </w:r>
      <w:r>
        <w:rPr>
          <w:rFonts w:ascii="Arial" w:hAnsi="Arial" w:cs="Arial"/>
          <w:sz w:val="18"/>
          <w:szCs w:val="18"/>
          <w:lang w:val="sr-Latn-BA"/>
        </w:rPr>
        <w:t>RZS</w:t>
      </w:r>
      <w:r w:rsidRPr="004551FE">
        <w:rPr>
          <w:rFonts w:ascii="Arial" w:hAnsi="Arial" w:cs="Arial"/>
          <w:sz w:val="18"/>
          <w:szCs w:val="18"/>
          <w:lang w:val="sr-Latn-BA"/>
        </w:rPr>
        <w:t xml:space="preserve">: </w:t>
      </w:r>
      <w:hyperlink r:id="rId4" w:history="1">
        <w:r w:rsidRPr="004551FE">
          <w:rPr>
            <w:rStyle w:val="Hyperlink"/>
            <w:rFonts w:ascii="Arial" w:hAnsi="Arial" w:cs="Arial"/>
            <w:sz w:val="18"/>
            <w:szCs w:val="18"/>
            <w:lang w:val="sr-Latn-BA"/>
          </w:rPr>
          <w:t>http://webrzs.stat.gov.rs/WebSite/Public/PageView.aspx?pKey=2</w:t>
        </w:r>
      </w:hyperlink>
    </w:p>
  </w:footnote>
  <w:footnote w:id="8">
    <w:p w:rsidR="00D5172E" w:rsidRPr="004551FE" w:rsidRDefault="00D5172E" w:rsidP="007569C5">
      <w:pPr>
        <w:pStyle w:val="NoSpacing"/>
        <w:rPr>
          <w:rFonts w:ascii="Arial" w:hAnsi="Arial" w:cs="Arial"/>
          <w:sz w:val="18"/>
          <w:szCs w:val="18"/>
          <w:lang w:val="sr-Latn-BA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 w:rsidRPr="004551FE"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FREN</w:t>
      </w:r>
      <w:r>
        <w:rPr>
          <w:rFonts w:ascii="Arial" w:hAnsi="Arial" w:cs="Arial"/>
          <w:sz w:val="18"/>
          <w:szCs w:val="18"/>
          <w:lang w:val="sr-Cyrl-RS"/>
        </w:rPr>
        <w:t xml:space="preserve">: </w:t>
      </w:r>
      <w:hyperlink r:id="rId5" w:history="1">
        <w:r w:rsidRPr="004551FE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http://www.fren.org.rs/node/353</w:t>
        </w:r>
      </w:hyperlink>
    </w:p>
  </w:footnote>
  <w:footnote w:id="9">
    <w:p w:rsidR="00D5172E" w:rsidRPr="004551FE" w:rsidRDefault="00D5172E" w:rsidP="007569C5">
      <w:pPr>
        <w:pStyle w:val="NoSpacing"/>
        <w:rPr>
          <w:rFonts w:ascii="Arial" w:hAnsi="Arial" w:cs="Arial"/>
          <w:bCs/>
          <w:sz w:val="18"/>
          <w:szCs w:val="18"/>
          <w:lang w:val="sr-Cyrl-RS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 w:rsidRPr="004551FE"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bCs/>
          <w:sz w:val="18"/>
          <w:szCs w:val="18"/>
          <w:lang w:val="sr-Latn-RS"/>
        </w:rPr>
        <w:t xml:space="preserve">Siromaštvo u Srbiji u </w:t>
      </w:r>
      <w:r>
        <w:rPr>
          <w:rFonts w:ascii="Arial" w:hAnsi="Arial" w:cs="Arial"/>
          <w:bCs/>
          <w:sz w:val="18"/>
          <w:szCs w:val="18"/>
          <w:lang w:val="sr-Cyrl-RS"/>
        </w:rPr>
        <w:t xml:space="preserve">2014 </w:t>
      </w:r>
      <w:r>
        <w:rPr>
          <w:rFonts w:ascii="Arial" w:hAnsi="Arial" w:cs="Arial"/>
          <w:bCs/>
          <w:sz w:val="18"/>
          <w:szCs w:val="18"/>
          <w:lang w:val="sr-Latn-RS"/>
        </w:rPr>
        <w:t>godini</w:t>
      </w:r>
      <w:r w:rsidRPr="004551FE">
        <w:rPr>
          <w:rFonts w:ascii="Arial" w:hAnsi="Arial" w:cs="Arial"/>
          <w:bCs/>
          <w:sz w:val="18"/>
          <w:szCs w:val="18"/>
          <w:lang w:val="sr-Cyrl-RS"/>
        </w:rPr>
        <w:t xml:space="preserve">, </w:t>
      </w:r>
      <w:r>
        <w:rPr>
          <w:rFonts w:ascii="Arial" w:hAnsi="Arial" w:cs="Arial"/>
          <w:sz w:val="18"/>
          <w:szCs w:val="18"/>
          <w:lang w:val="sr-Latn-RS"/>
        </w:rPr>
        <w:t>Tim za socijalno uključivanje i smanjenje siromaštva Vlade Srbije</w:t>
      </w:r>
      <w:r>
        <w:rPr>
          <w:rFonts w:ascii="Arial" w:hAnsi="Arial" w:cs="Arial"/>
          <w:bCs/>
          <w:sz w:val="18"/>
          <w:szCs w:val="18"/>
          <w:lang w:val="sr-Cyrl-RS"/>
        </w:rPr>
        <w:t xml:space="preserve">, </w:t>
      </w:r>
      <w:r>
        <w:rPr>
          <w:rFonts w:ascii="Arial" w:hAnsi="Arial" w:cs="Arial"/>
          <w:bCs/>
          <w:sz w:val="18"/>
          <w:szCs w:val="18"/>
          <w:lang w:val="sr-Latn-RS"/>
        </w:rPr>
        <w:t>avgust</w:t>
      </w:r>
      <w:r w:rsidRPr="004551FE">
        <w:rPr>
          <w:rFonts w:ascii="Arial" w:hAnsi="Arial" w:cs="Arial"/>
          <w:bCs/>
          <w:sz w:val="18"/>
          <w:szCs w:val="18"/>
          <w:lang w:val="sr-Cyrl-RS"/>
        </w:rPr>
        <w:t xml:space="preserve"> 2015.</w:t>
      </w:r>
    </w:p>
  </w:footnote>
  <w:footnote w:id="10">
    <w:p w:rsidR="00D5172E" w:rsidRPr="004551FE" w:rsidRDefault="00D5172E" w:rsidP="007569C5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Više informacija u istraživanju</w:t>
      </w:r>
      <w:r>
        <w:rPr>
          <w:rFonts w:ascii="Arial" w:hAnsi="Arial" w:cs="Arial"/>
          <w:sz w:val="18"/>
          <w:szCs w:val="18"/>
          <w:lang w:val="sr-Cyrl-RS"/>
        </w:rPr>
        <w:t xml:space="preserve">: </w:t>
      </w:r>
      <w:r>
        <w:rPr>
          <w:rFonts w:ascii="Arial" w:hAnsi="Arial" w:cs="Arial"/>
          <w:sz w:val="18"/>
          <w:szCs w:val="18"/>
          <w:lang w:val="sr-Latn-RS"/>
        </w:rPr>
        <w:t>Položaj mladih u sistemu socijalne zaštite</w:t>
      </w:r>
      <w:r w:rsidRPr="004551FE">
        <w:rPr>
          <w:rFonts w:ascii="Arial" w:hAnsi="Arial" w:cs="Arial"/>
          <w:sz w:val="18"/>
          <w:szCs w:val="18"/>
          <w:lang w:val="sr-Cyrl-RS"/>
        </w:rPr>
        <w:t>, 2013.</w:t>
      </w:r>
    </w:p>
  </w:footnote>
  <w:footnote w:id="11">
    <w:p w:rsidR="00D5172E" w:rsidRPr="004551FE" w:rsidRDefault="00D5172E" w:rsidP="007569C5">
      <w:pPr>
        <w:pStyle w:val="FootnoteText"/>
        <w:rPr>
          <w:rFonts w:ascii="Arial" w:hAnsi="Arial" w:cs="Arial"/>
          <w:sz w:val="18"/>
          <w:szCs w:val="18"/>
          <w:lang w:val="sr-Latn-ME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 w:rsidRPr="004551FE">
        <w:rPr>
          <w:rFonts w:ascii="Arial" w:hAnsi="Arial" w:cs="Arial"/>
          <w:sz w:val="18"/>
          <w:szCs w:val="18"/>
          <w:lang w:val="sr-Cyrl-RS"/>
        </w:rPr>
        <w:t xml:space="preserve"> </w:t>
      </w:r>
      <w:hyperlink r:id="rId6" w:history="1">
        <w:r w:rsidRPr="004551FE">
          <w:rPr>
            <w:rStyle w:val="Hyperlink"/>
            <w:rFonts w:ascii="Arial" w:hAnsi="Arial" w:cs="Arial"/>
            <w:sz w:val="18"/>
            <w:szCs w:val="18"/>
            <w:lang w:val="sr-Latn-ME"/>
          </w:rPr>
          <w:t>http://socijalnoukljucivanje.gov.rs/wp-content/uploads/2015/10/Siromastvo-u-RS.jpg</w:t>
        </w:r>
      </w:hyperlink>
    </w:p>
    <w:p w:rsidR="00D5172E" w:rsidRPr="004551FE" w:rsidRDefault="00D5172E" w:rsidP="007569C5">
      <w:pPr>
        <w:pStyle w:val="FootnoteText"/>
        <w:rPr>
          <w:rFonts w:ascii="Arial" w:hAnsi="Arial" w:cs="Arial"/>
          <w:sz w:val="18"/>
          <w:szCs w:val="18"/>
          <w:lang w:val="sr-Latn-ME"/>
        </w:rPr>
      </w:pPr>
    </w:p>
  </w:footnote>
  <w:footnote w:id="12">
    <w:p w:rsidR="00D5172E" w:rsidRPr="00FC4218" w:rsidRDefault="00D5172E" w:rsidP="007569C5">
      <w:pPr>
        <w:pStyle w:val="FootnoteText"/>
        <w:rPr>
          <w:rFonts w:ascii="Arial" w:hAnsi="Arial" w:cs="Arial"/>
          <w:sz w:val="18"/>
          <w:szCs w:val="18"/>
          <w:lang w:val="sr-Latn-RS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Smanjenje broja lica sa dugoročnom nezaposlenošću</w:t>
      </w:r>
    </w:p>
  </w:footnote>
  <w:footnote w:id="13">
    <w:p w:rsidR="00D5172E" w:rsidRPr="00FC4218" w:rsidRDefault="00D5172E" w:rsidP="007569C5">
      <w:pPr>
        <w:pStyle w:val="FootnoteText"/>
        <w:rPr>
          <w:rFonts w:ascii="Arial" w:hAnsi="Arial" w:cs="Arial"/>
          <w:sz w:val="18"/>
          <w:szCs w:val="18"/>
          <w:lang w:val="sr-Latn-RS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Broj lica koja žive u riziku od siromaštva</w:t>
      </w:r>
    </w:p>
  </w:footnote>
  <w:footnote w:id="14">
    <w:p w:rsidR="00D5172E" w:rsidRPr="004551FE" w:rsidRDefault="00D5172E" w:rsidP="007569C5">
      <w:pPr>
        <w:pStyle w:val="FootnoteText"/>
        <w:rPr>
          <w:rFonts w:ascii="Arial" w:hAnsi="Arial" w:cs="Arial"/>
          <w:sz w:val="18"/>
          <w:szCs w:val="18"/>
          <w:lang w:val="sr-Cyrl-RS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Ekvivalent</w:t>
      </w:r>
      <w:r w:rsidRPr="004551FE">
        <w:rPr>
          <w:rFonts w:ascii="Arial" w:hAnsi="Arial" w:cs="Arial"/>
          <w:sz w:val="18"/>
          <w:szCs w:val="18"/>
          <w:lang w:val="sr-Cyrl-RS"/>
        </w:rPr>
        <w:t xml:space="preserve"> 15,3%</w:t>
      </w:r>
    </w:p>
  </w:footnote>
  <w:footnote w:id="15">
    <w:p w:rsidR="00D5172E" w:rsidRPr="004551FE" w:rsidRDefault="00D5172E" w:rsidP="007569C5">
      <w:pPr>
        <w:pStyle w:val="NoSpacing"/>
        <w:rPr>
          <w:rFonts w:ascii="Arial" w:hAnsi="Arial" w:cs="Arial"/>
          <w:sz w:val="18"/>
          <w:szCs w:val="18"/>
          <w:lang w:val="sr-Latn-ME"/>
        </w:rPr>
      </w:pPr>
      <w:r w:rsidRPr="004551FE">
        <w:rPr>
          <w:rStyle w:val="FootnoteReference"/>
          <w:rFonts w:ascii="Arial" w:hAnsi="Arial" w:cs="Arial"/>
          <w:sz w:val="18"/>
          <w:szCs w:val="18"/>
          <w:lang w:val="sr-Latn-ME"/>
        </w:rPr>
        <w:footnoteRef/>
      </w:r>
      <w:r w:rsidRPr="004551FE">
        <w:rPr>
          <w:rFonts w:ascii="Arial" w:hAnsi="Arial" w:cs="Arial"/>
          <w:sz w:val="18"/>
          <w:szCs w:val="18"/>
          <w:lang w:val="sr-Latn-ME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sr-Latn-ME"/>
        </w:rPr>
        <w:t>Delovi platforme dostupni su na engleskom jeziku:</w:t>
      </w:r>
      <w:r w:rsidRPr="004551FE">
        <w:rPr>
          <w:rFonts w:ascii="Arial" w:hAnsi="Arial" w:cs="Arial"/>
          <w:color w:val="222222"/>
          <w:sz w:val="18"/>
          <w:szCs w:val="18"/>
          <w:lang w:val="sr-Latn-ME"/>
        </w:rPr>
        <w:t>:</w:t>
      </w:r>
      <w:r w:rsidRPr="004551FE">
        <w:rPr>
          <w:rFonts w:ascii="Arial" w:hAnsi="Arial" w:cs="Arial"/>
          <w:color w:val="222222"/>
          <w:sz w:val="18"/>
          <w:szCs w:val="18"/>
          <w:lang w:val="sr-Latn-ME"/>
        </w:rPr>
        <w:br/>
      </w:r>
      <w:hyperlink r:id="rId7" w:history="1">
        <w:r w:rsidRPr="004551FE">
          <w:rPr>
            <w:rStyle w:val="Hyperlink"/>
            <w:rFonts w:ascii="Arial" w:hAnsi="Arial" w:cs="Arial"/>
            <w:sz w:val="18"/>
            <w:szCs w:val="18"/>
            <w:lang w:val="sr-Latn-ME"/>
          </w:rPr>
          <w:t>http://www.stm.dk/multimedia/Regeringsgrundlag_uk_2011.pdf</w:t>
        </w:r>
      </w:hyperlink>
    </w:p>
    <w:p w:rsidR="00D5172E" w:rsidRPr="004551FE" w:rsidRDefault="00D5172E" w:rsidP="007569C5">
      <w:pPr>
        <w:pStyle w:val="NoSpacing"/>
        <w:rPr>
          <w:rFonts w:ascii="Arial" w:hAnsi="Arial" w:cs="Arial"/>
          <w:sz w:val="18"/>
          <w:szCs w:val="18"/>
          <w:lang w:val="sr-Latn-ME"/>
        </w:rPr>
      </w:pPr>
      <w:r>
        <w:rPr>
          <w:rFonts w:ascii="Arial" w:hAnsi="Arial" w:cs="Arial"/>
          <w:color w:val="222222"/>
          <w:sz w:val="18"/>
          <w:szCs w:val="18"/>
          <w:lang w:val="sr-Latn-ME"/>
        </w:rPr>
        <w:t xml:space="preserve">Kompletna verzija na danskom jeziku je dostupna na </w:t>
      </w:r>
      <w:r w:rsidRPr="004551FE">
        <w:rPr>
          <w:rFonts w:ascii="Arial" w:hAnsi="Arial" w:cs="Arial"/>
          <w:color w:val="222222"/>
          <w:sz w:val="18"/>
          <w:szCs w:val="18"/>
          <w:lang w:val="sr-Latn-ME"/>
        </w:rPr>
        <w:t>:</w:t>
      </w:r>
      <w:r w:rsidRPr="004551FE">
        <w:rPr>
          <w:rFonts w:ascii="Arial" w:hAnsi="Arial" w:cs="Arial"/>
          <w:color w:val="222222"/>
          <w:sz w:val="18"/>
          <w:szCs w:val="18"/>
          <w:lang w:val="sr-Latn-ME"/>
        </w:rPr>
        <w:br/>
      </w:r>
      <w:hyperlink r:id="rId8" w:history="1">
        <w:r w:rsidRPr="004551FE">
          <w:rPr>
            <w:rStyle w:val="Hyperlink"/>
            <w:rFonts w:ascii="Arial" w:hAnsi="Arial" w:cs="Arial"/>
            <w:sz w:val="18"/>
            <w:szCs w:val="18"/>
            <w:lang w:val="sr-Latn-ME"/>
          </w:rPr>
          <w:t>http://www.stm.dk/publikationer/Et_Danmark_der_staar_sammen_11/Regeringsgrundlag_okt_2011.pdf</w:t>
        </w:r>
      </w:hyperlink>
    </w:p>
  </w:footnote>
  <w:footnote w:id="16">
    <w:p w:rsidR="00D5172E" w:rsidRPr="00171789" w:rsidRDefault="00D5172E" w:rsidP="007569C5">
      <w:pPr>
        <w:pStyle w:val="NoSpacing"/>
        <w:rPr>
          <w:rFonts w:ascii="Arial" w:hAnsi="Arial" w:cs="Arial"/>
          <w:sz w:val="18"/>
          <w:szCs w:val="18"/>
          <w:lang w:val="sr-Latn-ME"/>
        </w:rPr>
      </w:pPr>
      <w:r w:rsidRPr="00171789">
        <w:rPr>
          <w:rStyle w:val="FootnoteReference"/>
          <w:rFonts w:ascii="Arial" w:hAnsi="Arial" w:cs="Arial"/>
          <w:sz w:val="18"/>
          <w:szCs w:val="18"/>
          <w:lang w:val="sr-Latn-ME"/>
        </w:rPr>
        <w:footnoteRef/>
      </w:r>
      <w:r w:rsidRPr="00171789">
        <w:rPr>
          <w:rFonts w:ascii="Arial" w:hAnsi="Arial" w:cs="Arial"/>
          <w:sz w:val="18"/>
          <w:szCs w:val="18"/>
          <w:lang w:val="sr-Latn-ME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sr-Latn-ME"/>
        </w:rPr>
        <w:t>Informacije o reformi zapošljavanja dostupne su na veb  stranici Ministarstva zapošljavanja (danski jezik)</w:t>
      </w:r>
      <w:r w:rsidRPr="00171789">
        <w:rPr>
          <w:rFonts w:ascii="Arial" w:hAnsi="Arial" w:cs="Arial"/>
          <w:color w:val="222222"/>
          <w:sz w:val="18"/>
          <w:szCs w:val="18"/>
          <w:lang w:val="sr-Latn-ME"/>
        </w:rPr>
        <w:br/>
      </w:r>
      <w:hyperlink r:id="rId9" w:history="1">
        <w:r w:rsidRPr="00171789">
          <w:rPr>
            <w:rStyle w:val="Hyperlink"/>
            <w:rFonts w:ascii="Arial" w:hAnsi="Arial" w:cs="Arial"/>
            <w:sz w:val="18"/>
            <w:szCs w:val="18"/>
            <w:lang w:val="sr-Latn-ME"/>
          </w:rPr>
          <w:t>http://bm.dk/da/Beskaeftigelsesomraadet/Flere%20i%20arbejde/Beskaeftigelsesindsats%20for%20ledige/Ny%20beskaeftigelsesindsats.aspx</w:t>
        </w:r>
      </w:hyperlink>
    </w:p>
  </w:footnote>
  <w:footnote w:id="17">
    <w:p w:rsidR="00D5172E" w:rsidRPr="00171789" w:rsidRDefault="00D5172E" w:rsidP="007569C5">
      <w:pPr>
        <w:pStyle w:val="NoSpacing"/>
        <w:rPr>
          <w:rFonts w:ascii="Arial" w:hAnsi="Arial" w:cs="Arial"/>
          <w:sz w:val="18"/>
          <w:szCs w:val="18"/>
        </w:rPr>
      </w:pPr>
      <w:r w:rsidRPr="00171789">
        <w:rPr>
          <w:rStyle w:val="FootnoteReference"/>
          <w:rFonts w:ascii="Arial" w:hAnsi="Arial" w:cs="Arial"/>
          <w:sz w:val="18"/>
          <w:szCs w:val="18"/>
        </w:rPr>
        <w:footnoteRef/>
      </w:r>
      <w:r w:rsidRPr="00171789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222222"/>
          <w:sz w:val="18"/>
          <w:szCs w:val="18"/>
          <w:lang w:val="sr-Latn-RS"/>
        </w:rPr>
        <w:t>Za više informacija</w:t>
      </w:r>
      <w:r w:rsidRPr="00171789">
        <w:rPr>
          <w:rFonts w:ascii="Arial" w:hAnsi="Arial" w:cs="Arial"/>
          <w:i/>
          <w:color w:val="222222"/>
          <w:sz w:val="18"/>
          <w:szCs w:val="18"/>
          <w:lang w:val="sr-Cyrl-RS"/>
        </w:rPr>
        <w:t>:</w:t>
      </w:r>
      <w:r w:rsidRPr="00171789">
        <w:rPr>
          <w:rFonts w:ascii="Arial" w:hAnsi="Arial" w:cs="Arial"/>
          <w:i/>
          <w:sz w:val="18"/>
          <w:szCs w:val="18"/>
        </w:rPr>
        <w:t xml:space="preserve"> the Annual Action Plans and Progress Reports</w:t>
      </w:r>
      <w:r w:rsidRPr="00171789">
        <w:rPr>
          <w:rFonts w:ascii="Arial" w:hAnsi="Arial" w:cs="Arial"/>
          <w:i/>
          <w:sz w:val="18"/>
          <w:szCs w:val="18"/>
          <w:lang w:val="sr-Cyrl-RS"/>
        </w:rPr>
        <w:t>:</w:t>
      </w:r>
      <w:r w:rsidRPr="00171789">
        <w:rPr>
          <w:rFonts w:ascii="Arial" w:hAnsi="Arial" w:cs="Arial"/>
          <w:sz w:val="18"/>
          <w:szCs w:val="18"/>
          <w:lang w:val="sr-Cyrl-RS"/>
        </w:rPr>
        <w:t xml:space="preserve"> </w:t>
      </w:r>
      <w:hyperlink r:id="rId10" w:history="1">
        <w:r w:rsidRPr="00171789">
          <w:rPr>
            <w:rStyle w:val="Hyperlink"/>
            <w:rFonts w:ascii="Arial" w:hAnsi="Arial" w:cs="Arial"/>
            <w:sz w:val="18"/>
            <w:szCs w:val="18"/>
          </w:rPr>
          <w:t>http://www.djei.ie/enterprise/apj.htm</w:t>
        </w:r>
      </w:hyperlink>
      <w:r w:rsidRPr="00171789">
        <w:rPr>
          <w:rStyle w:val="Hyperlink"/>
          <w:rFonts w:ascii="Arial" w:hAnsi="Arial" w:cs="Arial"/>
          <w:sz w:val="18"/>
          <w:szCs w:val="18"/>
        </w:rPr>
        <w:t>l</w:t>
      </w:r>
    </w:p>
  </w:footnote>
  <w:footnote w:id="18">
    <w:p w:rsidR="00D5172E" w:rsidRPr="004551FE" w:rsidRDefault="00D5172E" w:rsidP="007569C5">
      <w:pPr>
        <w:pStyle w:val="NoSpacing"/>
        <w:rPr>
          <w:rFonts w:ascii="Arial" w:hAnsi="Arial" w:cs="Arial"/>
          <w:sz w:val="18"/>
          <w:szCs w:val="18"/>
          <w:lang w:val="sr-Cyrl-RS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 w:rsidRPr="004551FE">
        <w:rPr>
          <w:rFonts w:ascii="Arial" w:hAnsi="Arial" w:cs="Arial"/>
          <w:sz w:val="18"/>
          <w:szCs w:val="18"/>
        </w:rPr>
        <w:t xml:space="preserve"> </w:t>
      </w:r>
      <w:r w:rsidRPr="004551FE">
        <w:rPr>
          <w:rFonts w:ascii="Arial" w:hAnsi="Arial" w:cs="Arial"/>
          <w:i/>
          <w:sz w:val="18"/>
          <w:szCs w:val="18"/>
          <w:lang w:val="en-GB"/>
        </w:rPr>
        <w:t>Coalition agreement between CDU, CSU and SPD for the 18th electoral term starting 17 November 2013</w:t>
      </w:r>
      <w:r w:rsidRPr="004551FE">
        <w:rPr>
          <w:rFonts w:ascii="Arial" w:hAnsi="Arial" w:cs="Arial"/>
          <w:sz w:val="18"/>
          <w:szCs w:val="18"/>
          <w:lang w:val="en-GB"/>
        </w:rPr>
        <w:t xml:space="preserve">: </w:t>
      </w:r>
      <w:hyperlink r:id="rId11" w:history="1">
        <w:r w:rsidRPr="004551FE">
          <w:rPr>
            <w:rStyle w:val="Hyperlink"/>
            <w:rFonts w:ascii="Arial" w:hAnsi="Arial" w:cs="Arial"/>
            <w:sz w:val="18"/>
            <w:szCs w:val="18"/>
            <w:lang w:val="en-GB"/>
          </w:rPr>
          <w:t>http://www.bundesregierung.de/Content/DE/_Anlagen/2013/2013-12-17-koalitionsvertrag.pdf?__blob=publicationFile&amp;v=2</w:t>
        </w:r>
      </w:hyperlink>
      <w:r w:rsidRPr="004551FE">
        <w:rPr>
          <w:rFonts w:ascii="Arial" w:hAnsi="Arial" w:cs="Arial"/>
          <w:sz w:val="18"/>
          <w:szCs w:val="18"/>
          <w:lang w:val="en-GB"/>
        </w:rPr>
        <w:t>.</w:t>
      </w:r>
    </w:p>
  </w:footnote>
  <w:footnote w:id="19">
    <w:p w:rsidR="00D5172E" w:rsidRPr="004551FE" w:rsidRDefault="00D5172E" w:rsidP="007569C5">
      <w:pPr>
        <w:pStyle w:val="NoSpacing"/>
        <w:rPr>
          <w:rFonts w:ascii="Arial" w:eastAsia="Times New Roman" w:hAnsi="Arial" w:cs="Arial"/>
          <w:sz w:val="18"/>
          <w:szCs w:val="18"/>
          <w:lang w:val="sr-Cyrl-RS"/>
        </w:rPr>
      </w:pPr>
      <w:r w:rsidRPr="004551FE">
        <w:rPr>
          <w:rStyle w:val="FootnoteReference"/>
          <w:rFonts w:ascii="Arial" w:hAnsi="Arial" w:cs="Arial"/>
          <w:sz w:val="18"/>
          <w:szCs w:val="18"/>
        </w:rPr>
        <w:footnoteRef/>
      </w:r>
      <w:r w:rsidRPr="004551FE"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val="sr-Latn-RS"/>
        </w:rPr>
        <w:t>Više informacija</w:t>
      </w:r>
      <w:r w:rsidRPr="004551FE">
        <w:rPr>
          <w:rFonts w:ascii="Arial" w:eastAsia="Times New Roman" w:hAnsi="Arial" w:cs="Arial"/>
          <w:sz w:val="18"/>
          <w:szCs w:val="18"/>
          <w:lang w:val="sr-Cyrl-RS"/>
        </w:rPr>
        <w:t xml:space="preserve">: </w:t>
      </w:r>
      <w:r w:rsidRPr="004551FE">
        <w:rPr>
          <w:rFonts w:ascii="Arial" w:hAnsi="Arial" w:cs="Arial"/>
          <w:i/>
          <w:sz w:val="18"/>
          <w:szCs w:val="18"/>
        </w:rPr>
        <w:t>Strategic</w:t>
      </w:r>
      <w:r w:rsidRPr="004551FE">
        <w:rPr>
          <w:rFonts w:ascii="Arial" w:hAnsi="Arial" w:cs="Arial"/>
          <w:i/>
          <w:sz w:val="18"/>
          <w:szCs w:val="18"/>
          <w:lang w:val="sr-Cyrl-RS"/>
        </w:rPr>
        <w:t xml:space="preserve"> </w:t>
      </w:r>
      <w:r w:rsidRPr="004551FE">
        <w:rPr>
          <w:rFonts w:ascii="Arial" w:hAnsi="Arial" w:cs="Arial"/>
          <w:i/>
          <w:sz w:val="18"/>
          <w:szCs w:val="18"/>
          <w:lang w:val="sr-Latn-ME"/>
        </w:rPr>
        <w:t>Programme</w:t>
      </w:r>
      <w:r w:rsidRPr="004551FE">
        <w:rPr>
          <w:rFonts w:ascii="Arial" w:hAnsi="Arial" w:cs="Arial"/>
          <w:i/>
          <w:sz w:val="18"/>
          <w:szCs w:val="18"/>
          <w:lang w:val="sr-Cyrl-RS"/>
        </w:rPr>
        <w:t xml:space="preserve"> </w:t>
      </w:r>
      <w:r w:rsidRPr="004551FE">
        <w:rPr>
          <w:rFonts w:ascii="Arial" w:hAnsi="Arial" w:cs="Arial"/>
          <w:i/>
          <w:sz w:val="18"/>
          <w:szCs w:val="18"/>
        </w:rPr>
        <w:t>of</w:t>
      </w:r>
      <w:r w:rsidRPr="004551FE">
        <w:rPr>
          <w:rFonts w:ascii="Arial" w:hAnsi="Arial" w:cs="Arial"/>
          <w:i/>
          <w:sz w:val="18"/>
          <w:szCs w:val="18"/>
          <w:lang w:val="sr-Cyrl-RS"/>
        </w:rPr>
        <w:t xml:space="preserve"> </w:t>
      </w:r>
      <w:r w:rsidRPr="004551FE">
        <w:rPr>
          <w:rFonts w:ascii="Arial" w:hAnsi="Arial" w:cs="Arial"/>
          <w:i/>
          <w:sz w:val="18"/>
          <w:szCs w:val="18"/>
        </w:rPr>
        <w:t>the</w:t>
      </w:r>
      <w:r w:rsidRPr="004551FE">
        <w:rPr>
          <w:rFonts w:ascii="Arial" w:hAnsi="Arial" w:cs="Arial"/>
          <w:i/>
          <w:sz w:val="18"/>
          <w:szCs w:val="18"/>
          <w:lang w:val="sr-Cyrl-RS"/>
        </w:rPr>
        <w:t xml:space="preserve"> </w:t>
      </w:r>
      <w:r w:rsidRPr="004551FE">
        <w:rPr>
          <w:rFonts w:ascii="Arial" w:hAnsi="Arial" w:cs="Arial"/>
          <w:i/>
          <w:sz w:val="18"/>
          <w:szCs w:val="18"/>
        </w:rPr>
        <w:t>Finnish</w:t>
      </w:r>
      <w:r w:rsidRPr="004551FE">
        <w:rPr>
          <w:rFonts w:ascii="Arial" w:hAnsi="Arial" w:cs="Arial"/>
          <w:i/>
          <w:sz w:val="18"/>
          <w:szCs w:val="18"/>
          <w:lang w:val="sr-Cyrl-RS"/>
        </w:rPr>
        <w:t xml:space="preserve"> </w:t>
      </w:r>
      <w:r w:rsidRPr="004551FE">
        <w:rPr>
          <w:rFonts w:ascii="Arial" w:hAnsi="Arial" w:cs="Arial"/>
          <w:i/>
          <w:sz w:val="18"/>
          <w:szCs w:val="18"/>
        </w:rPr>
        <w:t>Government</w:t>
      </w:r>
      <w:r w:rsidRPr="004551FE">
        <w:rPr>
          <w:rFonts w:ascii="Arial" w:hAnsi="Arial" w:cs="Arial"/>
          <w:i/>
          <w:sz w:val="18"/>
          <w:szCs w:val="18"/>
          <w:lang w:val="sr-Cyrl-RS"/>
        </w:rPr>
        <w:t>,</w:t>
      </w:r>
      <w:r>
        <w:rPr>
          <w:rFonts w:ascii="Arial" w:hAnsi="Arial" w:cs="Arial"/>
          <w:sz w:val="18"/>
          <w:szCs w:val="18"/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maj</w:t>
      </w:r>
      <w:r w:rsidRPr="004551FE">
        <w:rPr>
          <w:rFonts w:ascii="Arial" w:hAnsi="Arial" w:cs="Arial"/>
          <w:sz w:val="18"/>
          <w:szCs w:val="18"/>
          <w:lang w:val="sr-Cyrl-RS"/>
        </w:rPr>
        <w:t xml:space="preserve"> 20</w:t>
      </w:r>
      <w:r>
        <w:rPr>
          <w:rFonts w:ascii="Arial" w:hAnsi="Arial" w:cs="Arial"/>
          <w:sz w:val="18"/>
          <w:szCs w:val="18"/>
          <w:lang w:val="sr-Cyrl-RS"/>
        </w:rPr>
        <w:t xml:space="preserve">15. </w:t>
      </w:r>
      <w:r>
        <w:rPr>
          <w:rFonts w:ascii="Arial" w:hAnsi="Arial" w:cs="Arial"/>
          <w:sz w:val="18"/>
          <w:szCs w:val="18"/>
          <w:lang w:val="sr-Latn-RS"/>
        </w:rPr>
        <w:t>Dostupno na engleskom jeziku</w:t>
      </w:r>
      <w:r w:rsidRPr="004551FE">
        <w:rPr>
          <w:rFonts w:ascii="Arial" w:hAnsi="Arial" w:cs="Arial"/>
          <w:sz w:val="18"/>
          <w:szCs w:val="18"/>
          <w:lang w:val="sr-Cyrl-RS"/>
        </w:rPr>
        <w:t xml:space="preserve">: </w:t>
      </w:r>
      <w:hyperlink r:id="rId12" w:history="1">
        <w:r w:rsidRPr="004551FE">
          <w:rPr>
            <w:rStyle w:val="Hyperlink"/>
            <w:rFonts w:ascii="Arial" w:hAnsi="Arial" w:cs="Arial"/>
            <w:sz w:val="18"/>
            <w:szCs w:val="18"/>
            <w:lang w:val="sr-Cyrl-RS"/>
          </w:rPr>
          <w:t>http://valtioneuvosto.fi/documents/10184/1427398/Hallitusohjelma_27052015_final_EN.pdf/f1071fae-a933-4871-bb38-97bdfd324ee6</w:t>
        </w:r>
      </w:hyperlink>
    </w:p>
    <w:p w:rsidR="00D5172E" w:rsidRPr="004918FE" w:rsidRDefault="00D5172E" w:rsidP="007569C5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F1D"/>
    <w:multiLevelType w:val="multilevel"/>
    <w:tmpl w:val="2576A652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webHidden w:val="0"/>
        <w:color w:val="000000"/>
        <w:sz w:val="24"/>
        <w:szCs w:val="28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387501F"/>
    <w:multiLevelType w:val="hybridMultilevel"/>
    <w:tmpl w:val="93A24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9C5"/>
    <w:rsid w:val="0039036E"/>
    <w:rsid w:val="007569C5"/>
    <w:rsid w:val="00BC7921"/>
    <w:rsid w:val="00D5172E"/>
    <w:rsid w:val="00E7084A"/>
    <w:rsid w:val="00FC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C5"/>
  </w:style>
  <w:style w:type="paragraph" w:styleId="Heading1">
    <w:name w:val="heading 1"/>
    <w:basedOn w:val="Normal"/>
    <w:next w:val="Normal"/>
    <w:link w:val="Heading1Char"/>
    <w:autoRedefine/>
    <w:qFormat/>
    <w:rsid w:val="007569C5"/>
    <w:pPr>
      <w:keepNext/>
      <w:numPr>
        <w:numId w:val="1"/>
      </w:numPr>
      <w:tabs>
        <w:tab w:val="left" w:pos="567"/>
      </w:tabs>
      <w:autoSpaceDE w:val="0"/>
      <w:autoSpaceDN w:val="0"/>
      <w:adjustRightInd w:val="0"/>
      <w:spacing w:before="240" w:after="120" w:line="240" w:lineRule="auto"/>
      <w:ind w:left="431" w:hanging="431"/>
      <w:outlineLvl w:val="0"/>
    </w:pPr>
    <w:rPr>
      <w:rFonts w:ascii="Arial" w:eastAsia="Times New Roman" w:hAnsi="Arial" w:cs="Arial"/>
      <w:b/>
      <w:bCs/>
      <w:caps/>
      <w:kern w:val="24"/>
      <w:sz w:val="20"/>
      <w:lang w:val="nb-NO" w:eastAsia="nb-NO"/>
    </w:rPr>
  </w:style>
  <w:style w:type="paragraph" w:styleId="Heading2">
    <w:name w:val="heading 2"/>
    <w:basedOn w:val="Normal"/>
    <w:link w:val="Heading2Char"/>
    <w:unhideWhenUsed/>
    <w:qFormat/>
    <w:rsid w:val="007569C5"/>
    <w:pPr>
      <w:keepNext/>
      <w:numPr>
        <w:ilvl w:val="1"/>
        <w:numId w:val="1"/>
      </w:numPr>
      <w:spacing w:before="120" w:after="60" w:line="240" w:lineRule="auto"/>
      <w:ind w:left="578" w:hanging="578"/>
      <w:outlineLvl w:val="1"/>
    </w:pPr>
    <w:rPr>
      <w:rFonts w:ascii="Arial" w:eastAsia="Times New Roman" w:hAnsi="Arial" w:cs="Arial"/>
      <w:b/>
      <w:bCs/>
      <w:iCs/>
      <w:kern w:val="24"/>
      <w:szCs w:val="24"/>
      <w:lang w:val="nb-NO" w:eastAsia="nb-NO"/>
    </w:rPr>
  </w:style>
  <w:style w:type="paragraph" w:styleId="Heading3">
    <w:name w:val="heading 3"/>
    <w:basedOn w:val="Normal"/>
    <w:link w:val="Heading3Char"/>
    <w:semiHidden/>
    <w:unhideWhenUsed/>
    <w:qFormat/>
    <w:rsid w:val="007569C5"/>
    <w:pPr>
      <w:keepNext/>
      <w:numPr>
        <w:ilvl w:val="2"/>
        <w:numId w:val="1"/>
      </w:numPr>
      <w:tabs>
        <w:tab w:val="clear" w:pos="720"/>
        <w:tab w:val="left" w:pos="851"/>
      </w:tabs>
      <w:spacing w:before="12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val="nb-NO" w:eastAsia="nb-NO"/>
    </w:rPr>
  </w:style>
  <w:style w:type="paragraph" w:styleId="Heading4">
    <w:name w:val="heading 4"/>
    <w:basedOn w:val="Normal"/>
    <w:link w:val="Heading4Char"/>
    <w:semiHidden/>
    <w:unhideWhenUsed/>
    <w:qFormat/>
    <w:rsid w:val="007569C5"/>
    <w:pPr>
      <w:keepNext/>
      <w:numPr>
        <w:ilvl w:val="3"/>
        <w:numId w:val="1"/>
      </w:numPr>
      <w:tabs>
        <w:tab w:val="clear" w:pos="864"/>
        <w:tab w:val="left" w:pos="992"/>
      </w:tabs>
      <w:spacing w:before="120" w:after="60" w:line="240" w:lineRule="auto"/>
      <w:ind w:left="862" w:hanging="862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nb-NO" w:eastAsia="nb-NO"/>
    </w:rPr>
  </w:style>
  <w:style w:type="paragraph" w:styleId="Heading5">
    <w:name w:val="heading 5"/>
    <w:basedOn w:val="Normal"/>
    <w:link w:val="Heading5Char"/>
    <w:semiHidden/>
    <w:unhideWhenUsed/>
    <w:qFormat/>
    <w:rsid w:val="007569C5"/>
    <w:pPr>
      <w:numPr>
        <w:ilvl w:val="4"/>
        <w:numId w:val="1"/>
      </w:numPr>
      <w:tabs>
        <w:tab w:val="clear" w:pos="1008"/>
        <w:tab w:val="left" w:pos="1134"/>
      </w:tabs>
      <w:spacing w:before="120" w:after="60" w:line="240" w:lineRule="auto"/>
      <w:ind w:left="1009" w:hanging="1009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val="nb-NO" w:eastAsia="nb-NO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569C5"/>
    <w:pPr>
      <w:numPr>
        <w:ilvl w:val="5"/>
        <w:numId w:val="1"/>
      </w:numPr>
      <w:tabs>
        <w:tab w:val="clear" w:pos="1152"/>
        <w:tab w:val="left" w:pos="1474"/>
      </w:tabs>
      <w:spacing w:before="240" w:after="60" w:line="240" w:lineRule="auto"/>
      <w:ind w:left="1474" w:hanging="1474"/>
      <w:outlineLvl w:val="5"/>
    </w:pPr>
    <w:rPr>
      <w:rFonts w:ascii="Arial" w:eastAsia="Times New Roman" w:hAnsi="Arial" w:cs="Times New Roman"/>
      <w:b/>
      <w:bCs/>
      <w:sz w:val="24"/>
      <w:lang w:val="nb-NO" w:eastAsia="nb-N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69C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69C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nb-NO" w:eastAsia="nb-NO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69C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sz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69C5"/>
    <w:rPr>
      <w:rFonts w:ascii="Arial" w:eastAsia="Times New Roman" w:hAnsi="Arial" w:cs="Arial"/>
      <w:b/>
      <w:bCs/>
      <w:caps/>
      <w:kern w:val="24"/>
      <w:sz w:val="20"/>
      <w:lang w:val="nb-NO" w:eastAsia="nb-NO"/>
    </w:rPr>
  </w:style>
  <w:style w:type="character" w:customStyle="1" w:styleId="Heading2Char">
    <w:name w:val="Heading 2 Char"/>
    <w:basedOn w:val="DefaultParagraphFont"/>
    <w:link w:val="Heading2"/>
    <w:rsid w:val="007569C5"/>
    <w:rPr>
      <w:rFonts w:ascii="Arial" w:eastAsia="Times New Roman" w:hAnsi="Arial" w:cs="Arial"/>
      <w:b/>
      <w:bCs/>
      <w:iCs/>
      <w:kern w:val="24"/>
      <w:szCs w:val="24"/>
      <w:lang w:val="nb-NO" w:eastAsia="nb-NO"/>
    </w:rPr>
  </w:style>
  <w:style w:type="character" w:customStyle="1" w:styleId="Heading3Char">
    <w:name w:val="Heading 3 Char"/>
    <w:basedOn w:val="DefaultParagraphFont"/>
    <w:link w:val="Heading3"/>
    <w:semiHidden/>
    <w:rsid w:val="007569C5"/>
    <w:rPr>
      <w:rFonts w:ascii="Times New Roman" w:eastAsia="Times New Roman" w:hAnsi="Times New Roman" w:cs="Arial"/>
      <w:b/>
      <w:bCs/>
      <w:sz w:val="24"/>
      <w:szCs w:val="26"/>
      <w:lang w:val="nb-NO" w:eastAsia="nb-NO"/>
    </w:rPr>
  </w:style>
  <w:style w:type="character" w:customStyle="1" w:styleId="Heading4Char">
    <w:name w:val="Heading 4 Char"/>
    <w:basedOn w:val="DefaultParagraphFont"/>
    <w:link w:val="Heading4"/>
    <w:semiHidden/>
    <w:rsid w:val="007569C5"/>
    <w:rPr>
      <w:rFonts w:ascii="Times New Roman" w:eastAsia="Times New Roman" w:hAnsi="Times New Roman" w:cs="Times New Roman"/>
      <w:b/>
      <w:bCs/>
      <w:sz w:val="24"/>
      <w:szCs w:val="28"/>
      <w:lang w:val="nb-NO" w:eastAsia="nb-NO"/>
    </w:rPr>
  </w:style>
  <w:style w:type="character" w:customStyle="1" w:styleId="Heading5Char">
    <w:name w:val="Heading 5 Char"/>
    <w:basedOn w:val="DefaultParagraphFont"/>
    <w:link w:val="Heading5"/>
    <w:semiHidden/>
    <w:rsid w:val="007569C5"/>
    <w:rPr>
      <w:rFonts w:ascii="Times New Roman" w:eastAsia="Times New Roman" w:hAnsi="Times New Roman" w:cs="Times New Roman"/>
      <w:b/>
      <w:bCs/>
      <w:iCs/>
      <w:sz w:val="24"/>
      <w:szCs w:val="26"/>
      <w:lang w:val="nb-NO" w:eastAsia="nb-NO"/>
    </w:rPr>
  </w:style>
  <w:style w:type="character" w:customStyle="1" w:styleId="Heading6Char">
    <w:name w:val="Heading 6 Char"/>
    <w:basedOn w:val="DefaultParagraphFont"/>
    <w:link w:val="Heading6"/>
    <w:semiHidden/>
    <w:rsid w:val="007569C5"/>
    <w:rPr>
      <w:rFonts w:ascii="Arial" w:eastAsia="Times New Roman" w:hAnsi="Arial" w:cs="Times New Roman"/>
      <w:b/>
      <w:bCs/>
      <w:sz w:val="24"/>
      <w:lang w:val="nb-NO" w:eastAsia="nb-NO"/>
    </w:rPr>
  </w:style>
  <w:style w:type="character" w:customStyle="1" w:styleId="Heading7Char">
    <w:name w:val="Heading 7 Char"/>
    <w:basedOn w:val="DefaultParagraphFont"/>
    <w:link w:val="Heading7"/>
    <w:semiHidden/>
    <w:rsid w:val="007569C5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Heading8Char">
    <w:name w:val="Heading 8 Char"/>
    <w:basedOn w:val="DefaultParagraphFont"/>
    <w:link w:val="Heading8"/>
    <w:semiHidden/>
    <w:rsid w:val="007569C5"/>
    <w:rPr>
      <w:rFonts w:ascii="Times New Roman" w:eastAsia="Times New Roman" w:hAnsi="Times New Roman" w:cs="Times New Roman"/>
      <w:i/>
      <w:iCs/>
      <w:sz w:val="24"/>
      <w:szCs w:val="24"/>
      <w:lang w:val="nb-NO" w:eastAsia="nb-NO"/>
    </w:rPr>
  </w:style>
  <w:style w:type="character" w:customStyle="1" w:styleId="Heading9Char">
    <w:name w:val="Heading 9 Char"/>
    <w:basedOn w:val="DefaultParagraphFont"/>
    <w:link w:val="Heading9"/>
    <w:semiHidden/>
    <w:rsid w:val="007569C5"/>
    <w:rPr>
      <w:rFonts w:ascii="Arial" w:eastAsia="Times New Roman" w:hAnsi="Arial" w:cs="Arial"/>
      <w:sz w:val="24"/>
      <w:lang w:val="nb-NO" w:eastAsia="nb-NO"/>
    </w:rPr>
  </w:style>
  <w:style w:type="table" w:styleId="TableGrid">
    <w:name w:val="Table Grid"/>
    <w:basedOn w:val="TableNormal"/>
    <w:uiPriority w:val="59"/>
    <w:rsid w:val="0075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69C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569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69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9C5"/>
    <w:rPr>
      <w:vertAlign w:val="superscript"/>
    </w:rPr>
  </w:style>
  <w:style w:type="character" w:customStyle="1" w:styleId="hps">
    <w:name w:val="hps"/>
    <w:basedOn w:val="DefaultParagraphFont"/>
    <w:rsid w:val="007569C5"/>
  </w:style>
  <w:style w:type="paragraph" w:styleId="NormalWeb">
    <w:name w:val="Normal (Web)"/>
    <w:basedOn w:val="Normal"/>
    <w:uiPriority w:val="99"/>
    <w:unhideWhenUsed/>
    <w:rsid w:val="0075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569C5"/>
    <w:pPr>
      <w:spacing w:after="0" w:line="240" w:lineRule="auto"/>
    </w:pPr>
  </w:style>
  <w:style w:type="paragraph" w:customStyle="1" w:styleId="Normal1">
    <w:name w:val="Normal1"/>
    <w:basedOn w:val="Normal"/>
    <w:rsid w:val="0075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C5"/>
  </w:style>
  <w:style w:type="paragraph" w:styleId="ListParagraph">
    <w:name w:val="List Paragraph"/>
    <w:basedOn w:val="Normal"/>
    <w:uiPriority w:val="34"/>
    <w:qFormat/>
    <w:rsid w:val="007569C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569C5"/>
    <w:pPr>
      <w:spacing w:after="100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569C5"/>
  </w:style>
  <w:style w:type="paragraph" w:styleId="TOC2">
    <w:name w:val="toc 2"/>
    <w:basedOn w:val="Normal"/>
    <w:next w:val="Normal"/>
    <w:autoRedefine/>
    <w:uiPriority w:val="39"/>
    <w:unhideWhenUsed/>
    <w:rsid w:val="007569C5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69C5"/>
  </w:style>
  <w:style w:type="paragraph" w:styleId="Heading1">
    <w:name w:val="heading 1"/>
    <w:basedOn w:val="Normal"/>
    <w:next w:val="Normal"/>
    <w:link w:val="Heading1Char"/>
    <w:autoRedefine/>
    <w:qFormat/>
    <w:rsid w:val="007569C5"/>
    <w:pPr>
      <w:keepNext/>
      <w:numPr>
        <w:numId w:val="1"/>
      </w:numPr>
      <w:tabs>
        <w:tab w:val="left" w:pos="567"/>
      </w:tabs>
      <w:autoSpaceDE w:val="0"/>
      <w:autoSpaceDN w:val="0"/>
      <w:adjustRightInd w:val="0"/>
      <w:spacing w:before="240" w:after="120" w:line="240" w:lineRule="auto"/>
      <w:ind w:left="431" w:hanging="431"/>
      <w:outlineLvl w:val="0"/>
    </w:pPr>
    <w:rPr>
      <w:rFonts w:ascii="Arial" w:eastAsia="Times New Roman" w:hAnsi="Arial" w:cs="Arial"/>
      <w:b/>
      <w:bCs/>
      <w:caps/>
      <w:kern w:val="24"/>
      <w:sz w:val="20"/>
      <w:lang w:val="nb-NO" w:eastAsia="nb-NO"/>
    </w:rPr>
  </w:style>
  <w:style w:type="paragraph" w:styleId="Heading2">
    <w:name w:val="heading 2"/>
    <w:basedOn w:val="Normal"/>
    <w:link w:val="Heading2Char"/>
    <w:unhideWhenUsed/>
    <w:qFormat/>
    <w:rsid w:val="007569C5"/>
    <w:pPr>
      <w:keepNext/>
      <w:numPr>
        <w:ilvl w:val="1"/>
        <w:numId w:val="1"/>
      </w:numPr>
      <w:spacing w:before="120" w:after="60" w:line="240" w:lineRule="auto"/>
      <w:ind w:left="578" w:hanging="578"/>
      <w:outlineLvl w:val="1"/>
    </w:pPr>
    <w:rPr>
      <w:rFonts w:ascii="Arial" w:eastAsia="Times New Roman" w:hAnsi="Arial" w:cs="Arial"/>
      <w:b/>
      <w:bCs/>
      <w:iCs/>
      <w:kern w:val="24"/>
      <w:szCs w:val="24"/>
      <w:lang w:val="nb-NO" w:eastAsia="nb-NO"/>
    </w:rPr>
  </w:style>
  <w:style w:type="paragraph" w:styleId="Heading3">
    <w:name w:val="heading 3"/>
    <w:basedOn w:val="Normal"/>
    <w:link w:val="Heading3Char"/>
    <w:semiHidden/>
    <w:unhideWhenUsed/>
    <w:qFormat/>
    <w:rsid w:val="007569C5"/>
    <w:pPr>
      <w:keepNext/>
      <w:numPr>
        <w:ilvl w:val="2"/>
        <w:numId w:val="1"/>
      </w:numPr>
      <w:tabs>
        <w:tab w:val="clear" w:pos="720"/>
        <w:tab w:val="left" w:pos="851"/>
      </w:tabs>
      <w:spacing w:before="120" w:after="60" w:line="240" w:lineRule="auto"/>
      <w:outlineLvl w:val="2"/>
    </w:pPr>
    <w:rPr>
      <w:rFonts w:ascii="Times New Roman" w:eastAsia="Times New Roman" w:hAnsi="Times New Roman" w:cs="Arial"/>
      <w:b/>
      <w:bCs/>
      <w:sz w:val="24"/>
      <w:szCs w:val="26"/>
      <w:lang w:val="nb-NO" w:eastAsia="nb-NO"/>
    </w:rPr>
  </w:style>
  <w:style w:type="paragraph" w:styleId="Heading4">
    <w:name w:val="heading 4"/>
    <w:basedOn w:val="Normal"/>
    <w:link w:val="Heading4Char"/>
    <w:semiHidden/>
    <w:unhideWhenUsed/>
    <w:qFormat/>
    <w:rsid w:val="007569C5"/>
    <w:pPr>
      <w:keepNext/>
      <w:numPr>
        <w:ilvl w:val="3"/>
        <w:numId w:val="1"/>
      </w:numPr>
      <w:tabs>
        <w:tab w:val="clear" w:pos="864"/>
        <w:tab w:val="left" w:pos="992"/>
      </w:tabs>
      <w:spacing w:before="120" w:after="60" w:line="240" w:lineRule="auto"/>
      <w:ind w:left="862" w:hanging="862"/>
      <w:outlineLvl w:val="3"/>
    </w:pPr>
    <w:rPr>
      <w:rFonts w:ascii="Times New Roman" w:eastAsia="Times New Roman" w:hAnsi="Times New Roman" w:cs="Times New Roman"/>
      <w:b/>
      <w:bCs/>
      <w:sz w:val="24"/>
      <w:szCs w:val="28"/>
      <w:lang w:val="nb-NO" w:eastAsia="nb-NO"/>
    </w:rPr>
  </w:style>
  <w:style w:type="paragraph" w:styleId="Heading5">
    <w:name w:val="heading 5"/>
    <w:basedOn w:val="Normal"/>
    <w:link w:val="Heading5Char"/>
    <w:semiHidden/>
    <w:unhideWhenUsed/>
    <w:qFormat/>
    <w:rsid w:val="007569C5"/>
    <w:pPr>
      <w:numPr>
        <w:ilvl w:val="4"/>
        <w:numId w:val="1"/>
      </w:numPr>
      <w:tabs>
        <w:tab w:val="clear" w:pos="1008"/>
        <w:tab w:val="left" w:pos="1134"/>
      </w:tabs>
      <w:spacing w:before="120" w:after="60" w:line="240" w:lineRule="auto"/>
      <w:ind w:left="1009" w:hanging="1009"/>
      <w:outlineLvl w:val="4"/>
    </w:pPr>
    <w:rPr>
      <w:rFonts w:ascii="Times New Roman" w:eastAsia="Times New Roman" w:hAnsi="Times New Roman" w:cs="Times New Roman"/>
      <w:b/>
      <w:bCs/>
      <w:iCs/>
      <w:sz w:val="24"/>
      <w:szCs w:val="26"/>
      <w:lang w:val="nb-NO" w:eastAsia="nb-NO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7569C5"/>
    <w:pPr>
      <w:numPr>
        <w:ilvl w:val="5"/>
        <w:numId w:val="1"/>
      </w:numPr>
      <w:tabs>
        <w:tab w:val="clear" w:pos="1152"/>
        <w:tab w:val="left" w:pos="1474"/>
      </w:tabs>
      <w:spacing w:before="240" w:after="60" w:line="240" w:lineRule="auto"/>
      <w:ind w:left="1474" w:hanging="1474"/>
      <w:outlineLvl w:val="5"/>
    </w:pPr>
    <w:rPr>
      <w:rFonts w:ascii="Arial" w:eastAsia="Times New Roman" w:hAnsi="Arial" w:cs="Times New Roman"/>
      <w:b/>
      <w:bCs/>
      <w:sz w:val="24"/>
      <w:lang w:val="nb-NO" w:eastAsia="nb-NO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7569C5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7569C5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nb-NO" w:eastAsia="nb-NO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7569C5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sz w:val="24"/>
      <w:lang w:val="nb-NO"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569C5"/>
    <w:rPr>
      <w:rFonts w:ascii="Arial" w:eastAsia="Times New Roman" w:hAnsi="Arial" w:cs="Arial"/>
      <w:b/>
      <w:bCs/>
      <w:caps/>
      <w:kern w:val="24"/>
      <w:sz w:val="20"/>
      <w:lang w:val="nb-NO" w:eastAsia="nb-NO"/>
    </w:rPr>
  </w:style>
  <w:style w:type="character" w:customStyle="1" w:styleId="Heading2Char">
    <w:name w:val="Heading 2 Char"/>
    <w:basedOn w:val="DefaultParagraphFont"/>
    <w:link w:val="Heading2"/>
    <w:rsid w:val="007569C5"/>
    <w:rPr>
      <w:rFonts w:ascii="Arial" w:eastAsia="Times New Roman" w:hAnsi="Arial" w:cs="Arial"/>
      <w:b/>
      <w:bCs/>
      <w:iCs/>
      <w:kern w:val="24"/>
      <w:szCs w:val="24"/>
      <w:lang w:val="nb-NO" w:eastAsia="nb-NO"/>
    </w:rPr>
  </w:style>
  <w:style w:type="character" w:customStyle="1" w:styleId="Heading3Char">
    <w:name w:val="Heading 3 Char"/>
    <w:basedOn w:val="DefaultParagraphFont"/>
    <w:link w:val="Heading3"/>
    <w:semiHidden/>
    <w:rsid w:val="007569C5"/>
    <w:rPr>
      <w:rFonts w:ascii="Times New Roman" w:eastAsia="Times New Roman" w:hAnsi="Times New Roman" w:cs="Arial"/>
      <w:b/>
      <w:bCs/>
      <w:sz w:val="24"/>
      <w:szCs w:val="26"/>
      <w:lang w:val="nb-NO" w:eastAsia="nb-NO"/>
    </w:rPr>
  </w:style>
  <w:style w:type="character" w:customStyle="1" w:styleId="Heading4Char">
    <w:name w:val="Heading 4 Char"/>
    <w:basedOn w:val="DefaultParagraphFont"/>
    <w:link w:val="Heading4"/>
    <w:semiHidden/>
    <w:rsid w:val="007569C5"/>
    <w:rPr>
      <w:rFonts w:ascii="Times New Roman" w:eastAsia="Times New Roman" w:hAnsi="Times New Roman" w:cs="Times New Roman"/>
      <w:b/>
      <w:bCs/>
      <w:sz w:val="24"/>
      <w:szCs w:val="28"/>
      <w:lang w:val="nb-NO" w:eastAsia="nb-NO"/>
    </w:rPr>
  </w:style>
  <w:style w:type="character" w:customStyle="1" w:styleId="Heading5Char">
    <w:name w:val="Heading 5 Char"/>
    <w:basedOn w:val="DefaultParagraphFont"/>
    <w:link w:val="Heading5"/>
    <w:semiHidden/>
    <w:rsid w:val="007569C5"/>
    <w:rPr>
      <w:rFonts w:ascii="Times New Roman" w:eastAsia="Times New Roman" w:hAnsi="Times New Roman" w:cs="Times New Roman"/>
      <w:b/>
      <w:bCs/>
      <w:iCs/>
      <w:sz w:val="24"/>
      <w:szCs w:val="26"/>
      <w:lang w:val="nb-NO" w:eastAsia="nb-NO"/>
    </w:rPr>
  </w:style>
  <w:style w:type="character" w:customStyle="1" w:styleId="Heading6Char">
    <w:name w:val="Heading 6 Char"/>
    <w:basedOn w:val="DefaultParagraphFont"/>
    <w:link w:val="Heading6"/>
    <w:semiHidden/>
    <w:rsid w:val="007569C5"/>
    <w:rPr>
      <w:rFonts w:ascii="Arial" w:eastAsia="Times New Roman" w:hAnsi="Arial" w:cs="Times New Roman"/>
      <w:b/>
      <w:bCs/>
      <w:sz w:val="24"/>
      <w:lang w:val="nb-NO" w:eastAsia="nb-NO"/>
    </w:rPr>
  </w:style>
  <w:style w:type="character" w:customStyle="1" w:styleId="Heading7Char">
    <w:name w:val="Heading 7 Char"/>
    <w:basedOn w:val="DefaultParagraphFont"/>
    <w:link w:val="Heading7"/>
    <w:semiHidden/>
    <w:rsid w:val="007569C5"/>
    <w:rPr>
      <w:rFonts w:ascii="Times New Roman" w:eastAsia="Times New Roman" w:hAnsi="Times New Roman" w:cs="Times New Roman"/>
      <w:sz w:val="24"/>
      <w:szCs w:val="24"/>
      <w:lang w:val="nb-NO" w:eastAsia="nb-NO"/>
    </w:rPr>
  </w:style>
  <w:style w:type="character" w:customStyle="1" w:styleId="Heading8Char">
    <w:name w:val="Heading 8 Char"/>
    <w:basedOn w:val="DefaultParagraphFont"/>
    <w:link w:val="Heading8"/>
    <w:semiHidden/>
    <w:rsid w:val="007569C5"/>
    <w:rPr>
      <w:rFonts w:ascii="Times New Roman" w:eastAsia="Times New Roman" w:hAnsi="Times New Roman" w:cs="Times New Roman"/>
      <w:i/>
      <w:iCs/>
      <w:sz w:val="24"/>
      <w:szCs w:val="24"/>
      <w:lang w:val="nb-NO" w:eastAsia="nb-NO"/>
    </w:rPr>
  </w:style>
  <w:style w:type="character" w:customStyle="1" w:styleId="Heading9Char">
    <w:name w:val="Heading 9 Char"/>
    <w:basedOn w:val="DefaultParagraphFont"/>
    <w:link w:val="Heading9"/>
    <w:semiHidden/>
    <w:rsid w:val="007569C5"/>
    <w:rPr>
      <w:rFonts w:ascii="Arial" w:eastAsia="Times New Roman" w:hAnsi="Arial" w:cs="Arial"/>
      <w:sz w:val="24"/>
      <w:lang w:val="nb-NO" w:eastAsia="nb-NO"/>
    </w:rPr>
  </w:style>
  <w:style w:type="table" w:styleId="TableGrid">
    <w:name w:val="Table Grid"/>
    <w:basedOn w:val="TableNormal"/>
    <w:uiPriority w:val="59"/>
    <w:rsid w:val="00756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569C5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7569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569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569C5"/>
    <w:rPr>
      <w:vertAlign w:val="superscript"/>
    </w:rPr>
  </w:style>
  <w:style w:type="character" w:customStyle="1" w:styleId="hps">
    <w:name w:val="hps"/>
    <w:basedOn w:val="DefaultParagraphFont"/>
    <w:rsid w:val="007569C5"/>
  </w:style>
  <w:style w:type="paragraph" w:styleId="NormalWeb">
    <w:name w:val="Normal (Web)"/>
    <w:basedOn w:val="Normal"/>
    <w:uiPriority w:val="99"/>
    <w:unhideWhenUsed/>
    <w:rsid w:val="0075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7569C5"/>
    <w:pPr>
      <w:spacing w:after="0" w:line="240" w:lineRule="auto"/>
    </w:pPr>
  </w:style>
  <w:style w:type="paragraph" w:customStyle="1" w:styleId="Normal1">
    <w:name w:val="Normal1"/>
    <w:basedOn w:val="Normal"/>
    <w:rsid w:val="0075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569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69C5"/>
  </w:style>
  <w:style w:type="paragraph" w:styleId="ListParagraph">
    <w:name w:val="List Paragraph"/>
    <w:basedOn w:val="Normal"/>
    <w:uiPriority w:val="34"/>
    <w:qFormat/>
    <w:rsid w:val="007569C5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7569C5"/>
    <w:pPr>
      <w:spacing w:after="100"/>
    </w:pPr>
    <w:rPr>
      <w:rFonts w:ascii="Arial" w:hAnsi="Arial"/>
    </w:rPr>
  </w:style>
  <w:style w:type="character" w:customStyle="1" w:styleId="NoSpacingChar">
    <w:name w:val="No Spacing Char"/>
    <w:basedOn w:val="DefaultParagraphFont"/>
    <w:link w:val="NoSpacing"/>
    <w:uiPriority w:val="1"/>
    <w:rsid w:val="007569C5"/>
  </w:style>
  <w:style w:type="paragraph" w:styleId="TOC2">
    <w:name w:val="toc 2"/>
    <w:basedOn w:val="Normal"/>
    <w:next w:val="Normal"/>
    <w:autoRedefine/>
    <w:uiPriority w:val="39"/>
    <w:unhideWhenUsed/>
    <w:rsid w:val="007569C5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13" Type="http://schemas.openxmlformats.org/officeDocument/2006/relationships/hyperlink" Target="http://ec.europa.eu/eurostat/web/europe-2020-indicators/europe-2020-strategy" TargetMode="External"/><Relationship Id="rId18" Type="http://schemas.openxmlformats.org/officeDocument/2006/relationships/hyperlink" Target="Europe%202020%20Strateg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ebrzs.stat.gov.rs/WebSite/Public/PageView.aspx?pKey=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c.europa.eu/eurostat/web/europe-2020-indicators/europe-2020-strategy/headline-indicators-scoreboard" TargetMode="External"/><Relationship Id="rId17" Type="http://schemas.openxmlformats.org/officeDocument/2006/relationships/hyperlink" Target="http://ec.europa.eu/eurostat/web/europe-2020-indicators" TargetMode="External"/><Relationship Id="rId2" Type="http://schemas.openxmlformats.org/officeDocument/2006/relationships/styles" Target="styles.xml"/><Relationship Id="rId16" Type="http://schemas.openxmlformats.org/officeDocument/2006/relationships/hyperlink" Target="http://ec.europa.eu/eurostat/web/main" TargetMode="External"/><Relationship Id="rId20" Type="http://schemas.openxmlformats.org/officeDocument/2006/relationships/hyperlink" Target="http://www.parlament.gov.rs/narodna-skupstina-/organizacija-i-strucna-sluzba/biblioteka-narodne-skupstine.1506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c.europa.eu/eurostat/web/europe-2020-indicators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c.europa.eu/index_en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ec.europa.eu/eurostat/web/europe-2020-indicators/europe-2020-strategy/headline-indicators-scoreboard" TargetMode="External"/><Relationship Id="rId19" Type="http://schemas.openxmlformats.org/officeDocument/2006/relationships/hyperlink" Target="http://ec.europa.eu/eurostat/web/europe-2020-indicators/europe-2020-strategy/headline-indicators-scoreboar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c.europa.eu/eurostat/web/europe-2020-indicators" TargetMode="External"/><Relationship Id="rId14" Type="http://schemas.openxmlformats.org/officeDocument/2006/relationships/hyperlink" Target="https://ecprd.secure.europarl.europa.eu/ecprd/secured/detailreq.do?id=221300" TargetMode="External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m.dk/publikationer/Et_Danmark_der_staar_sammen_11/Regeringsgrundlag_okt_2011.pdf" TargetMode="External"/><Relationship Id="rId3" Type="http://schemas.openxmlformats.org/officeDocument/2006/relationships/hyperlink" Target="http://ec.europa.eu/eurostat/statistics-explained/index.php/People_at_risk_of_poverty_or_social_exclusion" TargetMode="External"/><Relationship Id="rId7" Type="http://schemas.openxmlformats.org/officeDocument/2006/relationships/hyperlink" Target="http://www.stm.dk/multimedia/Regeringsgrundlag_uk_2011.pdf" TargetMode="External"/><Relationship Id="rId12" Type="http://schemas.openxmlformats.org/officeDocument/2006/relationships/hyperlink" Target="http://valtioneuvosto.fi/documents/10184/1427398/Hallitusohjelma_27052015_final_EN.pdf/f1071fae-a933-4871-bb38-97bdfd324ee6" TargetMode="External"/><Relationship Id="rId2" Type="http://schemas.openxmlformats.org/officeDocument/2006/relationships/hyperlink" Target="http://www.parlament.gov.rs/narodna-skupstina-/organizacija-i-strucna-sluzba/biblioteka-narodne-skupstine.1506.html" TargetMode="External"/><Relationship Id="rId1" Type="http://schemas.openxmlformats.org/officeDocument/2006/relationships/hyperlink" Target="http://webrzs.stat.gov.rs/WebSite/Public/PageView.aspx?pKey=2" TargetMode="External"/><Relationship Id="rId6" Type="http://schemas.openxmlformats.org/officeDocument/2006/relationships/hyperlink" Target="http://socijalnoukljucivanje.gov.rs/wp-content/uploads/2015/10/Siromastvo-u-RS.jpg" TargetMode="External"/><Relationship Id="rId11" Type="http://schemas.openxmlformats.org/officeDocument/2006/relationships/hyperlink" Target="http://www.bundesregierung.de/Content/DE/_Anlagen/2013/2013-12-17-koalitionsvertrag.pdf?__blob=publicationFile&amp;v=2" TargetMode="External"/><Relationship Id="rId5" Type="http://schemas.openxmlformats.org/officeDocument/2006/relationships/hyperlink" Target="http://www.fren.org.rs/node/353" TargetMode="External"/><Relationship Id="rId10" Type="http://schemas.openxmlformats.org/officeDocument/2006/relationships/hyperlink" Target="http://www.djei.ie/enterprise/apj.htm" TargetMode="External"/><Relationship Id="rId4" Type="http://schemas.openxmlformats.org/officeDocument/2006/relationships/hyperlink" Target="http://webrzs.stat.gov.rs/WebSite/Public/PageView.aspx?pKey=2" TargetMode="External"/><Relationship Id="rId9" Type="http://schemas.openxmlformats.org/officeDocument/2006/relationships/hyperlink" Target="http://bm.dk/da/Beskaeftigelsesomraadet/Flere%20i%20arbejde/Beskaeftigelsesindsats%20for%20ledige/Ny%20beskaeftigelsesindsa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3451</Words>
  <Characters>19676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3</cp:revision>
  <dcterms:created xsi:type="dcterms:W3CDTF">2015-12-11T11:50:00Z</dcterms:created>
  <dcterms:modified xsi:type="dcterms:W3CDTF">2015-12-11T12:10:00Z</dcterms:modified>
</cp:coreProperties>
</file>